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E1DCB" w14:textId="77777777" w:rsidR="00A750A8" w:rsidRPr="00A750A8" w:rsidRDefault="002A0BAD" w:rsidP="00A750A8">
      <w:pPr>
        <w:jc w:val="center"/>
        <w:rPr>
          <w:rFonts w:ascii="Times New Roman" w:eastAsia="Times New Roman" w:hAnsi="Times New Roman"/>
          <w:b/>
          <w:sz w:val="22"/>
          <w:szCs w:val="22"/>
        </w:rPr>
      </w:pPr>
      <w:r>
        <w:rPr>
          <w:rFonts w:ascii="Times New Roman" w:eastAsia="Times New Roman" w:hAnsi="Times New Roman"/>
          <w:b/>
          <w:sz w:val="22"/>
          <w:szCs w:val="22"/>
        </w:rPr>
        <w:t xml:space="preserve">Overview and </w:t>
      </w:r>
      <w:r w:rsidR="00A750A8">
        <w:rPr>
          <w:rFonts w:ascii="Times New Roman" w:eastAsia="Times New Roman" w:hAnsi="Times New Roman"/>
          <w:b/>
          <w:sz w:val="22"/>
          <w:szCs w:val="22"/>
        </w:rPr>
        <w:t>Fact Sheet</w:t>
      </w:r>
    </w:p>
    <w:p w14:paraId="0FFA00E6" w14:textId="77777777" w:rsidR="00A750A8" w:rsidRDefault="00A750A8" w:rsidP="00A750A8">
      <w:pPr>
        <w:rPr>
          <w:rFonts w:ascii="Times New Roman" w:eastAsia="Times New Roman" w:hAnsi="Times New Roman"/>
          <w:sz w:val="22"/>
          <w:szCs w:val="22"/>
        </w:rPr>
      </w:pPr>
    </w:p>
    <w:p w14:paraId="05012D6F" w14:textId="43421A8A" w:rsidR="00A750A8" w:rsidRPr="006E280D" w:rsidRDefault="00A750A8" w:rsidP="00A750A8">
      <w:pPr>
        <w:rPr>
          <w:rFonts w:ascii="Times New Roman" w:eastAsia="Times New Roman" w:hAnsi="Times New Roman"/>
          <w:sz w:val="22"/>
          <w:szCs w:val="22"/>
        </w:rPr>
      </w:pPr>
      <w:r w:rsidRPr="006E280D">
        <w:rPr>
          <w:rFonts w:ascii="Times New Roman" w:eastAsia="Times New Roman" w:hAnsi="Times New Roman"/>
          <w:sz w:val="22"/>
          <w:szCs w:val="22"/>
        </w:rPr>
        <w:t>Under</w:t>
      </w:r>
      <w:r w:rsidR="00B505C5" w:rsidRPr="006E280D">
        <w:rPr>
          <w:rFonts w:ascii="Times New Roman" w:eastAsia="Times New Roman" w:hAnsi="Times New Roman"/>
          <w:sz w:val="22"/>
          <w:szCs w:val="22"/>
        </w:rPr>
        <w:t xml:space="preserve"> the leadership of Provost Terence</w:t>
      </w:r>
      <w:r w:rsidRPr="006E280D">
        <w:rPr>
          <w:rFonts w:ascii="Times New Roman" w:eastAsia="Times New Roman" w:hAnsi="Times New Roman"/>
          <w:sz w:val="22"/>
          <w:szCs w:val="22"/>
        </w:rPr>
        <w:t xml:space="preserve"> R. Flott</w:t>
      </w:r>
      <w:r w:rsidR="002974BF" w:rsidRPr="006E280D">
        <w:rPr>
          <w:rFonts w:ascii="Times New Roman" w:eastAsia="Times New Roman" w:hAnsi="Times New Roman"/>
          <w:sz w:val="22"/>
          <w:szCs w:val="22"/>
        </w:rPr>
        <w:t xml:space="preserve">e, MD, and </w:t>
      </w:r>
      <w:r w:rsidR="004B2C7D">
        <w:rPr>
          <w:rFonts w:ascii="Times New Roman" w:eastAsia="Times New Roman" w:hAnsi="Times New Roman"/>
          <w:sz w:val="22"/>
          <w:szCs w:val="22"/>
        </w:rPr>
        <w:t xml:space="preserve">administrative </w:t>
      </w:r>
      <w:r w:rsidR="002974BF" w:rsidRPr="006E280D">
        <w:rPr>
          <w:rFonts w:ascii="Times New Roman" w:eastAsia="Times New Roman" w:hAnsi="Times New Roman"/>
          <w:sz w:val="22"/>
          <w:szCs w:val="22"/>
        </w:rPr>
        <w:t xml:space="preserve">oversight </w:t>
      </w:r>
      <w:r w:rsidR="000448BE">
        <w:rPr>
          <w:rFonts w:ascii="Times New Roman" w:eastAsia="Times New Roman" w:hAnsi="Times New Roman"/>
          <w:sz w:val="22"/>
          <w:szCs w:val="22"/>
        </w:rPr>
        <w:t>by</w:t>
      </w:r>
      <w:r w:rsidR="004B2C7D" w:rsidRPr="006E280D">
        <w:rPr>
          <w:rFonts w:ascii="Times New Roman" w:eastAsia="Times New Roman" w:hAnsi="Times New Roman"/>
          <w:sz w:val="22"/>
          <w:szCs w:val="22"/>
        </w:rPr>
        <w:t xml:space="preserve"> </w:t>
      </w:r>
      <w:r w:rsidR="002974BF" w:rsidRPr="006E280D">
        <w:rPr>
          <w:rFonts w:ascii="Times New Roman" w:eastAsia="Times New Roman" w:hAnsi="Times New Roman"/>
          <w:sz w:val="22"/>
          <w:szCs w:val="22"/>
        </w:rPr>
        <w:t xml:space="preserve">the </w:t>
      </w:r>
      <w:r w:rsidRPr="006E280D">
        <w:rPr>
          <w:rFonts w:ascii="Times New Roman" w:eastAsia="Times New Roman" w:hAnsi="Times New Roman"/>
          <w:sz w:val="22"/>
          <w:szCs w:val="22"/>
        </w:rPr>
        <w:t xml:space="preserve">Office of Educational Affairs, the </w:t>
      </w:r>
      <w:r w:rsidR="002974BF" w:rsidRPr="006E280D">
        <w:rPr>
          <w:rFonts w:ascii="Times New Roman" w:eastAsia="Times New Roman" w:hAnsi="Times New Roman"/>
          <w:sz w:val="22"/>
          <w:szCs w:val="22"/>
        </w:rPr>
        <w:t>Liaison C</w:t>
      </w:r>
      <w:r w:rsidR="00A63B75" w:rsidRPr="006E280D">
        <w:rPr>
          <w:rFonts w:ascii="Times New Roman" w:eastAsia="Times New Roman" w:hAnsi="Times New Roman"/>
          <w:sz w:val="22"/>
          <w:szCs w:val="22"/>
        </w:rPr>
        <w:t xml:space="preserve">ommittee for Interprofessional </w:t>
      </w:r>
      <w:r w:rsidR="002974BF" w:rsidRPr="006E280D">
        <w:rPr>
          <w:rFonts w:ascii="Times New Roman" w:eastAsia="Times New Roman" w:hAnsi="Times New Roman"/>
          <w:sz w:val="22"/>
          <w:szCs w:val="22"/>
        </w:rPr>
        <w:t xml:space="preserve">Curriculum </w:t>
      </w:r>
      <w:r w:rsidRPr="006E280D">
        <w:rPr>
          <w:rFonts w:ascii="Times New Roman" w:eastAsia="Times New Roman" w:hAnsi="Times New Roman"/>
          <w:sz w:val="22"/>
          <w:szCs w:val="22"/>
        </w:rPr>
        <w:t>is currently seeking proposals for the</w:t>
      </w:r>
      <w:r w:rsidR="00A63B75" w:rsidRPr="006E280D">
        <w:rPr>
          <w:rFonts w:ascii="Times New Roman" w:eastAsia="Times New Roman" w:hAnsi="Times New Roman"/>
          <w:sz w:val="22"/>
          <w:szCs w:val="22"/>
        </w:rPr>
        <w:t xml:space="preserve"> </w:t>
      </w:r>
      <w:r w:rsidR="00A63B75" w:rsidRPr="006E280D">
        <w:rPr>
          <w:rFonts w:ascii="Times New Roman" w:hAnsi="Times New Roman"/>
          <w:sz w:val="22"/>
          <w:szCs w:val="22"/>
        </w:rPr>
        <w:t>Interprofessional Education Grant (IPEG) Initiative.  The goal of IPEGs is to stimulate the</w:t>
      </w:r>
      <w:r w:rsidRPr="006E280D">
        <w:rPr>
          <w:rFonts w:ascii="Times New Roman" w:eastAsia="Times New Roman" w:hAnsi="Times New Roman"/>
          <w:sz w:val="22"/>
          <w:szCs w:val="22"/>
        </w:rPr>
        <w:t xml:space="preserve"> development of innovative approaches</w:t>
      </w:r>
      <w:r w:rsidR="00A63B75" w:rsidRPr="006E280D">
        <w:rPr>
          <w:rFonts w:ascii="Times New Roman" w:eastAsia="Times New Roman" w:hAnsi="Times New Roman"/>
          <w:sz w:val="22"/>
          <w:szCs w:val="22"/>
        </w:rPr>
        <w:t xml:space="preserve"> and programs in Interprofessional Education at UMMS, across the spectrum of health professions, and the clinical and basic sciences. </w:t>
      </w:r>
    </w:p>
    <w:p w14:paraId="19389F71" w14:textId="77777777" w:rsidR="00A750A8" w:rsidRPr="006E280D" w:rsidRDefault="00A750A8" w:rsidP="00A750A8">
      <w:pPr>
        <w:rPr>
          <w:rFonts w:ascii="Times New Roman" w:eastAsia="Times New Roman" w:hAnsi="Times New Roman"/>
          <w:b/>
          <w:sz w:val="22"/>
          <w:szCs w:val="22"/>
        </w:rPr>
      </w:pPr>
    </w:p>
    <w:p w14:paraId="2C497AA8" w14:textId="77777777" w:rsidR="00A750A8" w:rsidRPr="006E280D" w:rsidRDefault="00A750A8" w:rsidP="00A750A8">
      <w:pPr>
        <w:ind w:left="720" w:right="1530"/>
        <w:rPr>
          <w:rFonts w:ascii="Times New Roman" w:eastAsia="Times New Roman" w:hAnsi="Times New Roman"/>
          <w:sz w:val="22"/>
          <w:szCs w:val="22"/>
        </w:rPr>
      </w:pPr>
      <w:r w:rsidRPr="006E280D">
        <w:rPr>
          <w:rFonts w:ascii="Times New Roman" w:eastAsia="Times New Roman" w:hAnsi="Times New Roman"/>
          <w:sz w:val="22"/>
          <w:szCs w:val="22"/>
        </w:rPr>
        <w:t>“The UMMS educational program must prepare our learners (students, residents/post docs, faculty and professionals) to function collaboratively on teams that represent the diversity of health professionals and the biomedical sciences.”</w:t>
      </w:r>
    </w:p>
    <w:p w14:paraId="19F3593F" w14:textId="77777777" w:rsidR="00A750A8" w:rsidRPr="006E280D" w:rsidRDefault="00A750A8" w:rsidP="00A750A8">
      <w:pPr>
        <w:rPr>
          <w:rFonts w:ascii="Times New Roman" w:eastAsia="Times New Roman" w:hAnsi="Times New Roman"/>
          <w:sz w:val="22"/>
          <w:szCs w:val="22"/>
        </w:rPr>
      </w:pPr>
    </w:p>
    <w:p w14:paraId="27B3940A" w14:textId="77777777" w:rsidR="00A750A8" w:rsidRPr="006E280D" w:rsidRDefault="00A750A8" w:rsidP="00A750A8">
      <w:pPr>
        <w:rPr>
          <w:rFonts w:ascii="Times New Roman" w:eastAsia="Times New Roman" w:hAnsi="Times New Roman"/>
          <w:sz w:val="22"/>
          <w:szCs w:val="22"/>
        </w:rPr>
      </w:pPr>
      <w:r w:rsidRPr="006E280D">
        <w:rPr>
          <w:rFonts w:ascii="Times New Roman" w:eastAsia="Times New Roman" w:hAnsi="Times New Roman"/>
          <w:sz w:val="22"/>
          <w:szCs w:val="22"/>
        </w:rPr>
        <w:t>For the purpose of the IPEG program, interprofessional education must represent two or more “professions” from any of the groups as defined below.</w:t>
      </w:r>
    </w:p>
    <w:p w14:paraId="2F43086B" w14:textId="77777777" w:rsidR="00A750A8" w:rsidRPr="006E280D" w:rsidRDefault="00A750A8" w:rsidP="00A750A8">
      <w:pPr>
        <w:rPr>
          <w:rFonts w:ascii="Times New Roman" w:eastAsia="Times New Roman" w:hAnsi="Times New Roman"/>
          <w:sz w:val="22"/>
          <w:szCs w:val="22"/>
        </w:rPr>
      </w:pPr>
    </w:p>
    <w:p w14:paraId="39A6C0F8" w14:textId="77777777" w:rsidR="00A750A8" w:rsidRPr="00A750A8" w:rsidRDefault="006D2A93" w:rsidP="00A750A8">
      <w:pPr>
        <w:numPr>
          <w:ilvl w:val="0"/>
          <w:numId w:val="1"/>
        </w:numPr>
        <w:rPr>
          <w:rFonts w:ascii="Times New Roman" w:eastAsia="Times New Roman" w:hAnsi="Times New Roman"/>
          <w:sz w:val="22"/>
          <w:szCs w:val="22"/>
        </w:rPr>
      </w:pPr>
      <w:r w:rsidRPr="006E280D">
        <w:rPr>
          <w:rFonts w:ascii="Times New Roman" w:eastAsia="Times New Roman" w:hAnsi="Times New Roman"/>
          <w:sz w:val="22"/>
          <w:szCs w:val="22"/>
        </w:rPr>
        <w:t>L</w:t>
      </w:r>
      <w:r w:rsidR="00A750A8" w:rsidRPr="006E280D">
        <w:rPr>
          <w:rFonts w:ascii="Times New Roman" w:eastAsia="Times New Roman" w:hAnsi="Times New Roman"/>
          <w:sz w:val="22"/>
          <w:szCs w:val="22"/>
        </w:rPr>
        <w:t>icensed health care professions</w:t>
      </w:r>
      <w:r w:rsidR="009C6F2A" w:rsidRPr="006E280D">
        <w:rPr>
          <w:rFonts w:ascii="Times New Roman" w:eastAsia="Times New Roman" w:hAnsi="Times New Roman"/>
          <w:sz w:val="22"/>
          <w:szCs w:val="22"/>
        </w:rPr>
        <w:t xml:space="preserve"> including, but not limited to, Medical Doctors, Doctors of Osteopathy, Registered</w:t>
      </w:r>
      <w:r w:rsidR="009C6F2A">
        <w:rPr>
          <w:rFonts w:ascii="Times New Roman" w:eastAsia="Times New Roman" w:hAnsi="Times New Roman"/>
          <w:sz w:val="22"/>
          <w:szCs w:val="22"/>
        </w:rPr>
        <w:t xml:space="preserve"> Nurses, Nurse Practitioners, </w:t>
      </w:r>
      <w:r w:rsidR="009C6F2A" w:rsidRPr="00A750A8">
        <w:rPr>
          <w:rFonts w:ascii="Times New Roman" w:eastAsia="Times New Roman" w:hAnsi="Times New Roman"/>
          <w:sz w:val="22"/>
          <w:szCs w:val="22"/>
        </w:rPr>
        <w:t>P</w:t>
      </w:r>
      <w:r w:rsidR="009C6F2A">
        <w:rPr>
          <w:rFonts w:ascii="Times New Roman" w:eastAsia="Times New Roman" w:hAnsi="Times New Roman"/>
          <w:sz w:val="22"/>
          <w:szCs w:val="22"/>
        </w:rPr>
        <w:t>hysician Assistants, Pharmacists,</w:t>
      </w:r>
      <w:r w:rsidR="00A750A8" w:rsidRPr="00A750A8">
        <w:rPr>
          <w:rFonts w:ascii="Times New Roman" w:eastAsia="Times New Roman" w:hAnsi="Times New Roman"/>
          <w:sz w:val="22"/>
          <w:szCs w:val="22"/>
        </w:rPr>
        <w:t xml:space="preserve"> P</w:t>
      </w:r>
      <w:r>
        <w:rPr>
          <w:rFonts w:ascii="Times New Roman" w:eastAsia="Times New Roman" w:hAnsi="Times New Roman"/>
          <w:sz w:val="22"/>
          <w:szCs w:val="22"/>
        </w:rPr>
        <w:t>hysic</w:t>
      </w:r>
      <w:r w:rsidR="009C6F2A">
        <w:rPr>
          <w:rFonts w:ascii="Times New Roman" w:eastAsia="Times New Roman" w:hAnsi="Times New Roman"/>
          <w:sz w:val="22"/>
          <w:szCs w:val="22"/>
        </w:rPr>
        <w:t>al Therapists, Occupational Therapists</w:t>
      </w:r>
      <w:r w:rsidR="00A750A8" w:rsidRPr="00A750A8">
        <w:rPr>
          <w:rFonts w:ascii="Times New Roman" w:eastAsia="Times New Roman" w:hAnsi="Times New Roman"/>
          <w:sz w:val="22"/>
          <w:szCs w:val="22"/>
        </w:rPr>
        <w:t xml:space="preserve"> </w:t>
      </w:r>
    </w:p>
    <w:p w14:paraId="4D45CA9A" w14:textId="77777777" w:rsidR="00A750A8" w:rsidRDefault="00A750A8" w:rsidP="00A750A8">
      <w:pPr>
        <w:numPr>
          <w:ilvl w:val="0"/>
          <w:numId w:val="1"/>
        </w:numPr>
        <w:rPr>
          <w:rFonts w:ascii="Times New Roman" w:eastAsia="Times New Roman" w:hAnsi="Times New Roman"/>
          <w:sz w:val="22"/>
          <w:szCs w:val="22"/>
        </w:rPr>
      </w:pPr>
      <w:r w:rsidRPr="00A750A8">
        <w:rPr>
          <w:rFonts w:ascii="Times New Roman" w:eastAsia="Times New Roman" w:hAnsi="Times New Roman"/>
          <w:sz w:val="22"/>
          <w:szCs w:val="22"/>
        </w:rPr>
        <w:t>Doctoral or master level degree recipients in the biomedical sciences,</w:t>
      </w:r>
      <w:r w:rsidR="00B63EE3">
        <w:rPr>
          <w:rFonts w:ascii="Times New Roman" w:eastAsia="Times New Roman" w:hAnsi="Times New Roman"/>
          <w:sz w:val="22"/>
          <w:szCs w:val="22"/>
        </w:rPr>
        <w:t xml:space="preserve"> faculty or professional staff</w:t>
      </w:r>
      <w:r w:rsidRPr="00A750A8">
        <w:rPr>
          <w:rFonts w:ascii="Times New Roman" w:eastAsia="Times New Roman" w:hAnsi="Times New Roman"/>
          <w:sz w:val="22"/>
          <w:szCs w:val="22"/>
        </w:rPr>
        <w:t xml:space="preserve"> </w:t>
      </w:r>
    </w:p>
    <w:p w14:paraId="29D51FF1" w14:textId="77777777" w:rsidR="00067B7B" w:rsidRDefault="00067B7B" w:rsidP="00A750A8">
      <w:pPr>
        <w:rPr>
          <w:rFonts w:ascii="Times New Roman" w:eastAsia="Times New Roman" w:hAnsi="Times New Roman"/>
          <w:sz w:val="22"/>
          <w:szCs w:val="22"/>
        </w:rPr>
      </w:pPr>
    </w:p>
    <w:p w14:paraId="26B30553" w14:textId="77777777" w:rsidR="005150A3" w:rsidRPr="00967B5C" w:rsidRDefault="005150A3" w:rsidP="005150A3">
      <w:pPr>
        <w:rPr>
          <w:rFonts w:ascii="Times New Roman" w:hAnsi="Times New Roman"/>
          <w:sz w:val="22"/>
          <w:szCs w:val="22"/>
        </w:rPr>
      </w:pPr>
      <w:r w:rsidRPr="00A750A8">
        <w:rPr>
          <w:rFonts w:ascii="Times New Roman" w:eastAsia="Times New Roman" w:hAnsi="Times New Roman"/>
          <w:sz w:val="22"/>
          <w:szCs w:val="22"/>
        </w:rPr>
        <w:t xml:space="preserve">Participants may include any combination </w:t>
      </w:r>
      <w:r w:rsidRPr="00E7469B">
        <w:rPr>
          <w:rFonts w:ascii="Times New Roman" w:eastAsia="Times New Roman" w:hAnsi="Times New Roman"/>
          <w:sz w:val="22"/>
          <w:szCs w:val="22"/>
        </w:rPr>
        <w:t>of students, postdoctoral trainees, residents/fellows, faculty or professional staff</w:t>
      </w:r>
      <w:r>
        <w:rPr>
          <w:rFonts w:ascii="Times New Roman" w:hAnsi="Times New Roman"/>
          <w:sz w:val="22"/>
          <w:szCs w:val="22"/>
        </w:rPr>
        <w:t xml:space="preserve"> from the SOM, GSN or GSBS</w:t>
      </w:r>
      <w:r w:rsidRPr="00E7469B">
        <w:rPr>
          <w:rFonts w:ascii="Times New Roman" w:eastAsia="Times New Roman" w:hAnsi="Times New Roman"/>
          <w:sz w:val="22"/>
          <w:szCs w:val="22"/>
        </w:rPr>
        <w:t xml:space="preserve">. </w:t>
      </w:r>
      <w:r w:rsidRPr="00E7469B">
        <w:rPr>
          <w:rFonts w:ascii="Times New Roman" w:hAnsi="Times New Roman"/>
          <w:sz w:val="22"/>
          <w:szCs w:val="22"/>
        </w:rPr>
        <w:t>Collaborative</w:t>
      </w:r>
      <w:r>
        <w:rPr>
          <w:rFonts w:ascii="Times New Roman" w:hAnsi="Times New Roman"/>
          <w:sz w:val="22"/>
          <w:szCs w:val="22"/>
        </w:rPr>
        <w:t xml:space="preserve"> teams of faculty from more</w:t>
      </w:r>
      <w:r w:rsidRPr="00E7469B">
        <w:rPr>
          <w:rFonts w:ascii="Times New Roman" w:hAnsi="Times New Roman"/>
          <w:sz w:val="22"/>
          <w:szCs w:val="22"/>
        </w:rPr>
        <w:t> than one school would be welcome.</w:t>
      </w:r>
      <w:r w:rsidRPr="00967B5C">
        <w:rPr>
          <w:rFonts w:ascii="Times New Roman" w:hAnsi="Times New Roman"/>
          <w:sz w:val="22"/>
          <w:szCs w:val="22"/>
        </w:rPr>
        <w:t xml:space="preserve"> </w:t>
      </w:r>
    </w:p>
    <w:p w14:paraId="0F15FF0B" w14:textId="77777777" w:rsidR="00A750A8" w:rsidRPr="00A750A8" w:rsidRDefault="00A750A8" w:rsidP="00A750A8">
      <w:pPr>
        <w:rPr>
          <w:rFonts w:ascii="Times New Roman" w:eastAsia="Times New Roman" w:hAnsi="Times New Roman"/>
          <w:b/>
          <w:sz w:val="22"/>
          <w:szCs w:val="22"/>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5"/>
        <w:gridCol w:w="4855"/>
      </w:tblGrid>
      <w:tr w:rsidR="00BC2803" w:rsidRPr="0007448F" w14:paraId="273A39A6" w14:textId="77777777" w:rsidTr="0092194C">
        <w:tc>
          <w:tcPr>
            <w:tcW w:w="4865" w:type="dxa"/>
          </w:tcPr>
          <w:p w14:paraId="79D5F1AD" w14:textId="38909DBC" w:rsidR="00BC2803" w:rsidRPr="0007448F" w:rsidRDefault="00BC2803" w:rsidP="0092194C">
            <w:pPr>
              <w:tabs>
                <w:tab w:val="left" w:pos="2700"/>
              </w:tabs>
              <w:rPr>
                <w:rFonts w:ascii="Times New Roman" w:hAnsi="Times New Roman"/>
                <w:b/>
                <w:sz w:val="22"/>
                <w:szCs w:val="22"/>
              </w:rPr>
            </w:pPr>
            <w:r w:rsidRPr="0007448F">
              <w:rPr>
                <w:rFonts w:ascii="Times New Roman" w:hAnsi="Times New Roman"/>
                <w:b/>
                <w:sz w:val="22"/>
                <w:szCs w:val="22"/>
              </w:rPr>
              <w:t>Public Announcement (e-mail and website live)</w:t>
            </w:r>
          </w:p>
        </w:tc>
        <w:tc>
          <w:tcPr>
            <w:tcW w:w="4855" w:type="dxa"/>
          </w:tcPr>
          <w:p w14:paraId="1FA565AC" w14:textId="0055B5DB" w:rsidR="00BC2803" w:rsidRPr="0007448F" w:rsidRDefault="00C26000" w:rsidP="00611B4D">
            <w:pPr>
              <w:tabs>
                <w:tab w:val="left" w:pos="2700"/>
              </w:tabs>
              <w:rPr>
                <w:rFonts w:ascii="Times New Roman" w:hAnsi="Times New Roman"/>
                <w:sz w:val="22"/>
                <w:szCs w:val="22"/>
              </w:rPr>
            </w:pPr>
            <w:r>
              <w:rPr>
                <w:rFonts w:ascii="Times New Roman" w:hAnsi="Times New Roman"/>
                <w:sz w:val="22"/>
                <w:szCs w:val="22"/>
              </w:rPr>
              <w:t>Fri</w:t>
            </w:r>
            <w:r w:rsidR="00271B11">
              <w:rPr>
                <w:rFonts w:ascii="Times New Roman" w:hAnsi="Times New Roman"/>
                <w:sz w:val="22"/>
                <w:szCs w:val="22"/>
              </w:rPr>
              <w:t xml:space="preserve">day, </w:t>
            </w:r>
            <w:r w:rsidR="008178FA">
              <w:rPr>
                <w:rFonts w:ascii="Times New Roman" w:hAnsi="Times New Roman"/>
                <w:sz w:val="22"/>
                <w:szCs w:val="22"/>
              </w:rPr>
              <w:t>May 17, 2019</w:t>
            </w:r>
          </w:p>
        </w:tc>
      </w:tr>
      <w:tr w:rsidR="00BC2803" w:rsidRPr="0007448F" w14:paraId="030FAA3A" w14:textId="77777777" w:rsidTr="0092194C">
        <w:tc>
          <w:tcPr>
            <w:tcW w:w="4865" w:type="dxa"/>
          </w:tcPr>
          <w:p w14:paraId="7FC257B0" w14:textId="5A4F43B5" w:rsidR="00BC2803" w:rsidRPr="0007448F" w:rsidRDefault="00BC2803" w:rsidP="0092194C">
            <w:pPr>
              <w:tabs>
                <w:tab w:val="left" w:pos="2700"/>
              </w:tabs>
              <w:rPr>
                <w:rFonts w:ascii="Times New Roman" w:hAnsi="Times New Roman"/>
                <w:b/>
                <w:sz w:val="22"/>
                <w:szCs w:val="22"/>
              </w:rPr>
            </w:pPr>
            <w:r>
              <w:rPr>
                <w:rFonts w:ascii="Times New Roman" w:hAnsi="Times New Roman"/>
                <w:b/>
                <w:sz w:val="22"/>
                <w:szCs w:val="22"/>
              </w:rPr>
              <w:t>Submission D</w:t>
            </w:r>
            <w:r w:rsidRPr="0007448F">
              <w:rPr>
                <w:rFonts w:ascii="Times New Roman" w:hAnsi="Times New Roman"/>
                <w:b/>
                <w:sz w:val="22"/>
                <w:szCs w:val="22"/>
              </w:rPr>
              <w:t>eadline</w:t>
            </w:r>
          </w:p>
        </w:tc>
        <w:tc>
          <w:tcPr>
            <w:tcW w:w="4855" w:type="dxa"/>
          </w:tcPr>
          <w:p w14:paraId="5DAAF897" w14:textId="777DFFE8" w:rsidR="00BC2803" w:rsidRPr="00DA7DE8" w:rsidRDefault="00652CD1" w:rsidP="00652CD1">
            <w:pPr>
              <w:tabs>
                <w:tab w:val="left" w:pos="2700"/>
              </w:tabs>
              <w:rPr>
                <w:rFonts w:ascii="Times New Roman" w:hAnsi="Times New Roman"/>
                <w:sz w:val="22"/>
                <w:szCs w:val="22"/>
                <w:highlight w:val="yellow"/>
              </w:rPr>
            </w:pPr>
            <w:r>
              <w:rPr>
                <w:rFonts w:ascii="Times New Roman" w:hAnsi="Times New Roman"/>
                <w:sz w:val="22"/>
                <w:szCs w:val="22"/>
              </w:rPr>
              <w:t>Mon</w:t>
            </w:r>
            <w:r w:rsidR="00271B11">
              <w:rPr>
                <w:rFonts w:ascii="Times New Roman" w:hAnsi="Times New Roman"/>
                <w:sz w:val="22"/>
                <w:szCs w:val="22"/>
              </w:rPr>
              <w:t>day,</w:t>
            </w:r>
            <w:r w:rsidR="008178FA">
              <w:rPr>
                <w:rFonts w:ascii="Times New Roman" w:hAnsi="Times New Roman"/>
                <w:sz w:val="22"/>
                <w:szCs w:val="22"/>
              </w:rPr>
              <w:t xml:space="preserve"> </w:t>
            </w:r>
            <w:r w:rsidR="00A41B0E">
              <w:rPr>
                <w:rFonts w:ascii="Times New Roman" w:hAnsi="Times New Roman"/>
                <w:sz w:val="22"/>
                <w:szCs w:val="22"/>
              </w:rPr>
              <w:t>July 8, 2019</w:t>
            </w:r>
          </w:p>
        </w:tc>
      </w:tr>
      <w:tr w:rsidR="00BC2803" w:rsidRPr="0007448F" w14:paraId="5C669FBD" w14:textId="77777777" w:rsidTr="0092194C">
        <w:tc>
          <w:tcPr>
            <w:tcW w:w="4865" w:type="dxa"/>
          </w:tcPr>
          <w:p w14:paraId="0B021FBB" w14:textId="35C95ABC" w:rsidR="00BC2803" w:rsidRPr="0007448F" w:rsidRDefault="00BC2803" w:rsidP="0092194C">
            <w:pPr>
              <w:tabs>
                <w:tab w:val="left" w:pos="2700"/>
              </w:tabs>
              <w:rPr>
                <w:rFonts w:ascii="Times New Roman" w:hAnsi="Times New Roman"/>
                <w:b/>
                <w:sz w:val="22"/>
                <w:szCs w:val="22"/>
              </w:rPr>
            </w:pPr>
            <w:r w:rsidRPr="0007448F">
              <w:rPr>
                <w:rFonts w:ascii="Times New Roman" w:hAnsi="Times New Roman"/>
                <w:b/>
                <w:sz w:val="22"/>
                <w:szCs w:val="22"/>
              </w:rPr>
              <w:t>Notification Date</w:t>
            </w:r>
          </w:p>
        </w:tc>
        <w:tc>
          <w:tcPr>
            <w:tcW w:w="4855" w:type="dxa"/>
          </w:tcPr>
          <w:p w14:paraId="6B88064D" w14:textId="047014D0" w:rsidR="00BC2803" w:rsidRPr="0007448F" w:rsidRDefault="008178FA" w:rsidP="00652CD1">
            <w:pPr>
              <w:tabs>
                <w:tab w:val="left" w:pos="2700"/>
              </w:tabs>
              <w:rPr>
                <w:rFonts w:ascii="Times New Roman" w:hAnsi="Times New Roman"/>
                <w:sz w:val="22"/>
                <w:szCs w:val="22"/>
              </w:rPr>
            </w:pPr>
            <w:r>
              <w:rPr>
                <w:rFonts w:ascii="Times New Roman" w:hAnsi="Times New Roman"/>
                <w:sz w:val="22"/>
                <w:szCs w:val="22"/>
              </w:rPr>
              <w:t xml:space="preserve">Friday, </w:t>
            </w:r>
            <w:r w:rsidR="00A41B0E">
              <w:rPr>
                <w:rFonts w:ascii="Times New Roman" w:hAnsi="Times New Roman"/>
                <w:sz w:val="22"/>
                <w:szCs w:val="22"/>
              </w:rPr>
              <w:t>July 26, 2019</w:t>
            </w:r>
          </w:p>
        </w:tc>
      </w:tr>
      <w:tr w:rsidR="00BC2803" w:rsidRPr="0007448F" w14:paraId="0E7D5289" w14:textId="77777777" w:rsidTr="0092194C">
        <w:tc>
          <w:tcPr>
            <w:tcW w:w="4865" w:type="dxa"/>
          </w:tcPr>
          <w:p w14:paraId="680AF63E" w14:textId="1D4B3943" w:rsidR="00BC2803" w:rsidRPr="0007448F" w:rsidRDefault="00BC2803" w:rsidP="0092194C">
            <w:pPr>
              <w:tabs>
                <w:tab w:val="left" w:pos="2700"/>
              </w:tabs>
              <w:rPr>
                <w:rFonts w:ascii="Times New Roman" w:hAnsi="Times New Roman"/>
                <w:b/>
                <w:sz w:val="22"/>
                <w:szCs w:val="22"/>
              </w:rPr>
            </w:pPr>
            <w:r w:rsidRPr="0007448F">
              <w:rPr>
                <w:rFonts w:ascii="Times New Roman" w:hAnsi="Times New Roman"/>
                <w:b/>
                <w:sz w:val="22"/>
                <w:szCs w:val="22"/>
              </w:rPr>
              <w:t>IPEG Funding</w:t>
            </w:r>
          </w:p>
        </w:tc>
        <w:tc>
          <w:tcPr>
            <w:tcW w:w="4855" w:type="dxa"/>
          </w:tcPr>
          <w:p w14:paraId="07958789" w14:textId="2FC9BE84" w:rsidR="00BC2803" w:rsidRPr="001F257C" w:rsidRDefault="001F257C" w:rsidP="00652CD1">
            <w:pPr>
              <w:tabs>
                <w:tab w:val="left" w:pos="2700"/>
              </w:tabs>
              <w:rPr>
                <w:rFonts w:ascii="Times New Roman" w:hAnsi="Times New Roman"/>
                <w:sz w:val="22"/>
                <w:szCs w:val="22"/>
              </w:rPr>
            </w:pPr>
            <w:r w:rsidRPr="001F257C">
              <w:rPr>
                <w:rFonts w:ascii="Times New Roman" w:hAnsi="Times New Roman"/>
                <w:sz w:val="22"/>
                <w:szCs w:val="22"/>
              </w:rPr>
              <w:t>August 1, 2019 – July 30, 2020</w:t>
            </w:r>
          </w:p>
        </w:tc>
      </w:tr>
    </w:tbl>
    <w:p w14:paraId="7D4EFBF1" w14:textId="77777777" w:rsidR="00A750A8" w:rsidRPr="00A750A8" w:rsidRDefault="00A750A8" w:rsidP="00A750A8">
      <w:pPr>
        <w:tabs>
          <w:tab w:val="left" w:pos="2700"/>
        </w:tabs>
        <w:rPr>
          <w:rFonts w:ascii="Times New Roman" w:eastAsia="Times New Roman" w:hAnsi="Times New Roman"/>
          <w:b/>
          <w:sz w:val="22"/>
          <w:szCs w:val="22"/>
        </w:rPr>
      </w:pPr>
    </w:p>
    <w:p w14:paraId="5A244449" w14:textId="77777777" w:rsidR="00A750A8" w:rsidRPr="00A750A8" w:rsidRDefault="00A750A8" w:rsidP="00A750A8">
      <w:pPr>
        <w:rPr>
          <w:rFonts w:ascii="Times New Roman" w:eastAsia="Times New Roman" w:hAnsi="Times New Roman"/>
          <w:sz w:val="22"/>
        </w:rPr>
      </w:pPr>
      <w:r w:rsidRPr="00A750A8">
        <w:rPr>
          <w:rFonts w:ascii="Times New Roman" w:eastAsia="Times New Roman" w:hAnsi="Times New Roman"/>
          <w:b/>
          <w:sz w:val="22"/>
        </w:rPr>
        <w:t>Who can apply?</w:t>
      </w:r>
    </w:p>
    <w:p w14:paraId="3C5C888D" w14:textId="194FBF73" w:rsidR="00067B7B" w:rsidRDefault="00A750A8" w:rsidP="00A750A8">
      <w:pPr>
        <w:rPr>
          <w:rFonts w:ascii="Times New Roman" w:eastAsia="Times New Roman" w:hAnsi="Times New Roman"/>
          <w:sz w:val="22"/>
        </w:rPr>
      </w:pPr>
      <w:r w:rsidRPr="00A750A8">
        <w:rPr>
          <w:rFonts w:ascii="Times New Roman" w:eastAsia="Times New Roman" w:hAnsi="Times New Roman"/>
          <w:sz w:val="22"/>
        </w:rPr>
        <w:t xml:space="preserve">Projects must be sponsored by </w:t>
      </w:r>
      <w:r w:rsidR="00F50284">
        <w:rPr>
          <w:rFonts w:ascii="Times New Roman" w:eastAsia="Times New Roman" w:hAnsi="Times New Roman"/>
          <w:sz w:val="22"/>
        </w:rPr>
        <w:t>UMass Worcester</w:t>
      </w:r>
      <w:r w:rsidRPr="00A750A8">
        <w:rPr>
          <w:rFonts w:ascii="Times New Roman" w:eastAsia="Times New Roman" w:hAnsi="Times New Roman"/>
          <w:sz w:val="22"/>
        </w:rPr>
        <w:t xml:space="preserve"> faculty and endorsed by the respective department chair</w:t>
      </w:r>
      <w:r w:rsidR="00067B7B">
        <w:rPr>
          <w:rFonts w:ascii="Times New Roman" w:eastAsia="Times New Roman" w:hAnsi="Times New Roman"/>
          <w:sz w:val="22"/>
        </w:rPr>
        <w:t xml:space="preserve"> in the School of Medicine or Dean of the Graduate School of Nursing</w:t>
      </w:r>
      <w:r w:rsidR="00F50284">
        <w:rPr>
          <w:rFonts w:ascii="Times New Roman" w:eastAsia="Times New Roman" w:hAnsi="Times New Roman"/>
          <w:sz w:val="22"/>
        </w:rPr>
        <w:t xml:space="preserve"> or Graduate School of Biomedical Sciences</w:t>
      </w:r>
      <w:r w:rsidR="00067B7B">
        <w:rPr>
          <w:rFonts w:ascii="Times New Roman" w:eastAsia="Times New Roman" w:hAnsi="Times New Roman"/>
          <w:sz w:val="22"/>
        </w:rPr>
        <w:t>, as applicable.</w:t>
      </w:r>
    </w:p>
    <w:p w14:paraId="44EF4F81" w14:textId="77777777" w:rsidR="00067B7B" w:rsidRDefault="00067B7B" w:rsidP="00A750A8">
      <w:pPr>
        <w:rPr>
          <w:rFonts w:ascii="Times New Roman" w:eastAsia="Times New Roman" w:hAnsi="Times New Roman"/>
          <w:sz w:val="22"/>
        </w:rPr>
      </w:pPr>
      <w:r>
        <w:rPr>
          <w:rFonts w:ascii="Times New Roman" w:eastAsia="Times New Roman" w:hAnsi="Times New Roman"/>
          <w:sz w:val="22"/>
        </w:rPr>
        <w:t xml:space="preserve"> </w:t>
      </w:r>
    </w:p>
    <w:p w14:paraId="2BC9F03D" w14:textId="6EFC5BA4" w:rsidR="00A750A8" w:rsidRPr="001F257C" w:rsidRDefault="00A750A8" w:rsidP="00A750A8">
      <w:pPr>
        <w:rPr>
          <w:rFonts w:ascii="Times New Roman" w:eastAsia="Times New Roman" w:hAnsi="Times New Roman"/>
          <w:sz w:val="22"/>
        </w:rPr>
      </w:pPr>
      <w:r w:rsidRPr="00A750A8">
        <w:rPr>
          <w:rFonts w:ascii="Times New Roman" w:eastAsia="Times New Roman" w:hAnsi="Times New Roman"/>
          <w:sz w:val="22"/>
        </w:rPr>
        <w:t>Partnerships with students, r</w:t>
      </w:r>
      <w:r w:rsidRPr="001F257C">
        <w:rPr>
          <w:rFonts w:ascii="Times New Roman" w:eastAsia="Times New Roman" w:hAnsi="Times New Roman"/>
          <w:sz w:val="22"/>
        </w:rPr>
        <w:t xml:space="preserve">esidents and post-doctoral graduates from across the continuum of education are encouraged. Submissions in collaboration with educational affiliates and educational programs outside </w:t>
      </w:r>
      <w:r w:rsidR="00F50284" w:rsidRPr="001F257C">
        <w:rPr>
          <w:rFonts w:ascii="Times New Roman" w:eastAsia="Times New Roman" w:hAnsi="Times New Roman"/>
          <w:sz w:val="22"/>
        </w:rPr>
        <w:t>UMW</w:t>
      </w:r>
      <w:r w:rsidRPr="001F257C">
        <w:rPr>
          <w:rFonts w:ascii="Times New Roman" w:eastAsia="Times New Roman" w:hAnsi="Times New Roman"/>
          <w:sz w:val="22"/>
        </w:rPr>
        <w:t xml:space="preserve"> are encouraged, providing that the project sponsorship includes a member of the </w:t>
      </w:r>
      <w:r w:rsidR="00F50284" w:rsidRPr="001F257C">
        <w:rPr>
          <w:rFonts w:ascii="Times New Roman" w:eastAsia="Times New Roman" w:hAnsi="Times New Roman"/>
          <w:sz w:val="22"/>
        </w:rPr>
        <w:t>UMW</w:t>
      </w:r>
      <w:r w:rsidRPr="001F257C">
        <w:rPr>
          <w:rFonts w:ascii="Times New Roman" w:eastAsia="Times New Roman" w:hAnsi="Times New Roman"/>
          <w:sz w:val="22"/>
        </w:rPr>
        <w:t xml:space="preserve"> faculty. </w:t>
      </w:r>
    </w:p>
    <w:p w14:paraId="7D122EF8" w14:textId="77777777" w:rsidR="00A750A8" w:rsidRPr="001F257C" w:rsidRDefault="00A750A8" w:rsidP="00A750A8">
      <w:pPr>
        <w:rPr>
          <w:rFonts w:ascii="Times New Roman" w:eastAsia="Times New Roman" w:hAnsi="Times New Roman"/>
          <w:b/>
          <w:sz w:val="22"/>
        </w:rPr>
      </w:pPr>
    </w:p>
    <w:p w14:paraId="3DA0E5FE" w14:textId="77777777" w:rsidR="00A750A8" w:rsidRPr="001F257C" w:rsidRDefault="00A750A8" w:rsidP="00A750A8">
      <w:pPr>
        <w:rPr>
          <w:rFonts w:ascii="Times New Roman" w:eastAsia="Times New Roman" w:hAnsi="Times New Roman"/>
          <w:b/>
          <w:sz w:val="22"/>
        </w:rPr>
      </w:pPr>
      <w:r w:rsidRPr="001F257C">
        <w:rPr>
          <w:rFonts w:ascii="Times New Roman" w:eastAsia="Times New Roman" w:hAnsi="Times New Roman"/>
          <w:b/>
          <w:sz w:val="22"/>
        </w:rPr>
        <w:t>How large are the grants?</w:t>
      </w:r>
    </w:p>
    <w:p w14:paraId="60A40B87" w14:textId="2E11F63D" w:rsidR="00A750A8" w:rsidRPr="001F257C" w:rsidRDefault="00A750A8" w:rsidP="00A750A8">
      <w:pPr>
        <w:rPr>
          <w:rFonts w:ascii="Times New Roman" w:eastAsia="Times New Roman" w:hAnsi="Times New Roman"/>
          <w:b/>
          <w:sz w:val="22"/>
        </w:rPr>
      </w:pPr>
      <w:r w:rsidRPr="001F257C">
        <w:rPr>
          <w:rFonts w:ascii="Times New Roman" w:eastAsia="Times New Roman" w:hAnsi="Times New Roman"/>
          <w:sz w:val="22"/>
        </w:rPr>
        <w:t xml:space="preserve">The maximum grant award is $7,500.  There will be up to </w:t>
      </w:r>
      <w:r w:rsidR="00DD4F38" w:rsidRPr="001F257C">
        <w:rPr>
          <w:rFonts w:ascii="Times New Roman" w:eastAsia="Times New Roman" w:hAnsi="Times New Roman"/>
          <w:sz w:val="22"/>
        </w:rPr>
        <w:t xml:space="preserve">three </w:t>
      </w:r>
      <w:r w:rsidRPr="001F257C">
        <w:rPr>
          <w:rFonts w:ascii="Times New Roman" w:eastAsia="Times New Roman" w:hAnsi="Times New Roman"/>
          <w:sz w:val="22"/>
        </w:rPr>
        <w:t xml:space="preserve">awards.  </w:t>
      </w:r>
    </w:p>
    <w:p w14:paraId="757640FD" w14:textId="77777777" w:rsidR="00067B7B" w:rsidRPr="001F257C" w:rsidRDefault="00067B7B" w:rsidP="00A750A8">
      <w:pPr>
        <w:rPr>
          <w:rFonts w:ascii="Times New Roman" w:eastAsia="Times New Roman" w:hAnsi="Times New Roman"/>
          <w:b/>
          <w:sz w:val="22"/>
        </w:rPr>
      </w:pPr>
    </w:p>
    <w:p w14:paraId="54A81F9F" w14:textId="77777777" w:rsidR="00A750A8" w:rsidRPr="001F257C" w:rsidRDefault="00A750A8" w:rsidP="00A750A8">
      <w:pPr>
        <w:rPr>
          <w:rFonts w:ascii="Times New Roman" w:eastAsia="Times New Roman" w:hAnsi="Times New Roman"/>
          <w:b/>
          <w:sz w:val="22"/>
        </w:rPr>
      </w:pPr>
      <w:r w:rsidRPr="001F257C">
        <w:rPr>
          <w:rFonts w:ascii="Times New Roman" w:eastAsia="Times New Roman" w:hAnsi="Times New Roman"/>
          <w:b/>
          <w:sz w:val="22"/>
        </w:rPr>
        <w:t>How can grant funds be used?</w:t>
      </w:r>
    </w:p>
    <w:p w14:paraId="50D1FE63" w14:textId="77777777" w:rsidR="00A750A8" w:rsidRPr="00A750A8" w:rsidRDefault="00A750A8" w:rsidP="00A750A8">
      <w:pPr>
        <w:rPr>
          <w:rFonts w:ascii="Times New Roman" w:eastAsia="Times New Roman" w:hAnsi="Times New Roman"/>
          <w:sz w:val="22"/>
        </w:rPr>
      </w:pPr>
      <w:r w:rsidRPr="001F257C">
        <w:rPr>
          <w:rFonts w:ascii="Times New Roman" w:eastAsia="Times New Roman" w:hAnsi="Times New Roman"/>
          <w:sz w:val="22"/>
        </w:rPr>
        <w:t xml:space="preserve">Grant funds can be used to fund technical or administrative personnel; </w:t>
      </w:r>
      <w:r w:rsidR="00C95DC2" w:rsidRPr="001F257C">
        <w:rPr>
          <w:rFonts w:ascii="Times New Roman" w:eastAsia="Times New Roman" w:hAnsi="Times New Roman"/>
          <w:sz w:val="22"/>
        </w:rPr>
        <w:t xml:space="preserve">for </w:t>
      </w:r>
      <w:r w:rsidRPr="001F257C">
        <w:rPr>
          <w:rFonts w:ascii="Times New Roman" w:eastAsia="Times New Roman" w:hAnsi="Times New Roman"/>
          <w:sz w:val="22"/>
        </w:rPr>
        <w:t>student stipends and consultants</w:t>
      </w:r>
      <w:r w:rsidR="00C95DC2" w:rsidRPr="001F257C">
        <w:rPr>
          <w:rFonts w:ascii="Times New Roman" w:eastAsia="Times New Roman" w:hAnsi="Times New Roman"/>
          <w:sz w:val="22"/>
        </w:rPr>
        <w:t xml:space="preserve"> and</w:t>
      </w:r>
      <w:r w:rsidRPr="001F257C">
        <w:rPr>
          <w:rFonts w:ascii="Times New Roman" w:eastAsia="Times New Roman" w:hAnsi="Times New Roman"/>
          <w:sz w:val="22"/>
        </w:rPr>
        <w:t>; to purchase supplies and equipment. Awards for equipment purchases are restricted to items otherwise not available to the PI through his/her department or other cen</w:t>
      </w:r>
      <w:r w:rsidRPr="00A750A8">
        <w:rPr>
          <w:rFonts w:ascii="Times New Roman" w:eastAsia="Times New Roman" w:hAnsi="Times New Roman"/>
          <w:sz w:val="22"/>
        </w:rPr>
        <w:t>tral institution sources</w:t>
      </w:r>
      <w:r w:rsidR="00C95DC2">
        <w:rPr>
          <w:rFonts w:ascii="Times New Roman" w:eastAsia="Times New Roman" w:hAnsi="Times New Roman"/>
          <w:sz w:val="22"/>
        </w:rPr>
        <w:t>.</w:t>
      </w:r>
      <w:r w:rsidRPr="00A750A8">
        <w:rPr>
          <w:rFonts w:ascii="Times New Roman" w:eastAsia="Times New Roman" w:hAnsi="Times New Roman"/>
          <w:sz w:val="22"/>
        </w:rPr>
        <w:t xml:space="preserve"> </w:t>
      </w:r>
      <w:r w:rsidR="00C95DC2">
        <w:rPr>
          <w:rFonts w:ascii="Times New Roman" w:eastAsia="Times New Roman" w:hAnsi="Times New Roman"/>
          <w:sz w:val="22"/>
        </w:rPr>
        <w:t>A</w:t>
      </w:r>
      <w:r w:rsidRPr="00A750A8">
        <w:rPr>
          <w:rFonts w:ascii="Times New Roman" w:eastAsia="Times New Roman" w:hAnsi="Times New Roman"/>
          <w:sz w:val="22"/>
        </w:rPr>
        <w:t>ll eq</w:t>
      </w:r>
      <w:r w:rsidR="007C36BC">
        <w:rPr>
          <w:rFonts w:ascii="Times New Roman" w:eastAsia="Times New Roman" w:hAnsi="Times New Roman"/>
          <w:sz w:val="22"/>
        </w:rPr>
        <w:t>uipment purchased with IPEG</w:t>
      </w:r>
      <w:r w:rsidRPr="00A750A8">
        <w:rPr>
          <w:rFonts w:ascii="Times New Roman" w:eastAsia="Times New Roman" w:hAnsi="Times New Roman"/>
          <w:sz w:val="22"/>
        </w:rPr>
        <w:t xml:space="preserve"> funds will remain the property of the Office of Educational Affairs.  Travel funding (up to $1,000) will be considered only if the travel is necessary for project development or implementation.  </w:t>
      </w:r>
      <w:r w:rsidRPr="00A750A8">
        <w:rPr>
          <w:rFonts w:ascii="Times New Roman" w:eastAsia="Times New Roman" w:hAnsi="Times New Roman"/>
          <w:i/>
          <w:sz w:val="22"/>
        </w:rPr>
        <w:t>IPE</w:t>
      </w:r>
      <w:r w:rsidR="002B6AA6">
        <w:rPr>
          <w:rFonts w:ascii="Times New Roman" w:eastAsia="Times New Roman" w:hAnsi="Times New Roman"/>
          <w:i/>
          <w:sz w:val="22"/>
        </w:rPr>
        <w:t>G</w:t>
      </w:r>
      <w:r w:rsidRPr="00A750A8">
        <w:rPr>
          <w:rFonts w:ascii="Times New Roman" w:eastAsia="Times New Roman" w:hAnsi="Times New Roman"/>
          <w:i/>
          <w:sz w:val="22"/>
        </w:rPr>
        <w:t xml:space="preserve"> </w:t>
      </w:r>
      <w:r w:rsidRPr="00A750A8">
        <w:rPr>
          <w:rFonts w:ascii="Times New Roman" w:eastAsia="Times New Roman" w:hAnsi="Times New Roman"/>
          <w:sz w:val="22"/>
        </w:rPr>
        <w:t>f</w:t>
      </w:r>
      <w:r w:rsidRPr="00A750A8">
        <w:rPr>
          <w:rFonts w:ascii="Times New Roman" w:eastAsia="Times New Roman" w:hAnsi="Times New Roman"/>
          <w:i/>
          <w:sz w:val="22"/>
        </w:rPr>
        <w:t>unds cannot be used for faculty salary</w:t>
      </w:r>
      <w:r w:rsidRPr="00A750A8">
        <w:rPr>
          <w:rFonts w:ascii="Times New Roman" w:eastAsia="Times New Roman" w:hAnsi="Times New Roman"/>
          <w:sz w:val="22"/>
        </w:rPr>
        <w:t xml:space="preserve"> </w:t>
      </w:r>
      <w:r w:rsidRPr="00A750A8">
        <w:rPr>
          <w:rFonts w:ascii="Times New Roman" w:eastAsia="Times New Roman" w:hAnsi="Times New Roman"/>
          <w:i/>
          <w:sz w:val="22"/>
        </w:rPr>
        <w:t>support.</w:t>
      </w:r>
    </w:p>
    <w:p w14:paraId="2318FDD3" w14:textId="77777777" w:rsidR="00A750A8" w:rsidRDefault="00A750A8" w:rsidP="00A750A8">
      <w:pPr>
        <w:rPr>
          <w:rFonts w:ascii="Times New Roman" w:eastAsia="Times New Roman" w:hAnsi="Times New Roman"/>
          <w:sz w:val="22"/>
        </w:rPr>
      </w:pPr>
    </w:p>
    <w:p w14:paraId="4FF3136D" w14:textId="77777777" w:rsidR="00271B11" w:rsidRPr="00A750A8" w:rsidRDefault="00271B11" w:rsidP="00A750A8">
      <w:pPr>
        <w:rPr>
          <w:rFonts w:ascii="Times New Roman" w:eastAsia="Times New Roman" w:hAnsi="Times New Roman"/>
          <w:sz w:val="22"/>
        </w:rPr>
      </w:pPr>
    </w:p>
    <w:p w14:paraId="24A053E5" w14:textId="77777777" w:rsidR="00271B11" w:rsidRDefault="00271B11" w:rsidP="00A750A8">
      <w:pPr>
        <w:rPr>
          <w:rFonts w:ascii="Times New Roman" w:eastAsia="Times New Roman" w:hAnsi="Times New Roman"/>
          <w:b/>
          <w:sz w:val="22"/>
          <w:szCs w:val="22"/>
        </w:rPr>
      </w:pPr>
    </w:p>
    <w:p w14:paraId="10CE43AC" w14:textId="77777777" w:rsidR="00A750A8" w:rsidRPr="00A750A8" w:rsidRDefault="00A750A8" w:rsidP="00A750A8">
      <w:pPr>
        <w:rPr>
          <w:rFonts w:ascii="Times New Roman" w:eastAsia="Times New Roman" w:hAnsi="Times New Roman"/>
          <w:sz w:val="22"/>
          <w:szCs w:val="22"/>
        </w:rPr>
      </w:pPr>
      <w:r w:rsidRPr="00A750A8">
        <w:rPr>
          <w:rFonts w:ascii="Times New Roman" w:eastAsia="Times New Roman" w:hAnsi="Times New Roman"/>
          <w:b/>
          <w:sz w:val="22"/>
          <w:szCs w:val="22"/>
        </w:rPr>
        <w:t>What is the Submission deadline?</w:t>
      </w:r>
    </w:p>
    <w:p w14:paraId="5406E3EB" w14:textId="70767FC2" w:rsidR="00A750A8" w:rsidRDefault="00A750A8" w:rsidP="00A750A8">
      <w:pPr>
        <w:rPr>
          <w:rFonts w:ascii="Times New Roman" w:eastAsia="Times New Roman" w:hAnsi="Times New Roman"/>
          <w:sz w:val="22"/>
          <w:szCs w:val="22"/>
        </w:rPr>
      </w:pPr>
      <w:r w:rsidRPr="00A750A8">
        <w:rPr>
          <w:rFonts w:ascii="Times New Roman" w:eastAsia="Times New Roman" w:hAnsi="Times New Roman"/>
          <w:sz w:val="22"/>
          <w:szCs w:val="22"/>
        </w:rPr>
        <w:t xml:space="preserve">The completed application should be </w:t>
      </w:r>
      <w:r w:rsidRPr="00D3547D">
        <w:rPr>
          <w:rFonts w:ascii="Times New Roman" w:eastAsia="Times New Roman" w:hAnsi="Times New Roman"/>
          <w:sz w:val="22"/>
          <w:szCs w:val="22"/>
        </w:rPr>
        <w:t xml:space="preserve">submitted </w:t>
      </w:r>
      <w:r w:rsidRPr="00BC2803">
        <w:rPr>
          <w:rFonts w:ascii="Times New Roman" w:eastAsia="Times New Roman" w:hAnsi="Times New Roman"/>
          <w:sz w:val="22"/>
          <w:szCs w:val="22"/>
        </w:rPr>
        <w:t xml:space="preserve">by </w:t>
      </w:r>
      <w:r w:rsidR="00652CD1">
        <w:rPr>
          <w:rFonts w:ascii="Times New Roman" w:eastAsia="Times New Roman" w:hAnsi="Times New Roman"/>
          <w:b/>
          <w:sz w:val="22"/>
          <w:szCs w:val="22"/>
        </w:rPr>
        <w:t>Mon</w:t>
      </w:r>
      <w:r w:rsidR="00271B11">
        <w:rPr>
          <w:rFonts w:ascii="Times New Roman" w:eastAsia="Times New Roman" w:hAnsi="Times New Roman"/>
          <w:b/>
          <w:sz w:val="22"/>
          <w:szCs w:val="22"/>
        </w:rPr>
        <w:t>day</w:t>
      </w:r>
      <w:r w:rsidR="007C36BC" w:rsidRPr="00BC2803">
        <w:rPr>
          <w:rFonts w:ascii="Times New Roman" w:eastAsia="Times New Roman" w:hAnsi="Times New Roman"/>
          <w:b/>
          <w:sz w:val="22"/>
          <w:szCs w:val="22"/>
        </w:rPr>
        <w:t xml:space="preserve">, </w:t>
      </w:r>
      <w:bookmarkStart w:id="0" w:name="_GoBack"/>
      <w:bookmarkEnd w:id="0"/>
      <w:r w:rsidR="00A41B0E">
        <w:rPr>
          <w:rFonts w:ascii="Times New Roman" w:eastAsia="Times New Roman" w:hAnsi="Times New Roman"/>
          <w:b/>
          <w:sz w:val="22"/>
          <w:szCs w:val="22"/>
        </w:rPr>
        <w:t>July 8, 2019</w:t>
      </w:r>
      <w:r w:rsidR="007C36BC" w:rsidRPr="00BC2803">
        <w:rPr>
          <w:rFonts w:ascii="Times New Roman" w:eastAsia="Times New Roman" w:hAnsi="Times New Roman"/>
          <w:b/>
          <w:sz w:val="22"/>
          <w:szCs w:val="22"/>
        </w:rPr>
        <w:t>.</w:t>
      </w:r>
      <w:r w:rsidRPr="00A750A8">
        <w:rPr>
          <w:rFonts w:ascii="Times New Roman" w:eastAsia="Times New Roman" w:hAnsi="Times New Roman"/>
          <w:sz w:val="22"/>
          <w:szCs w:val="22"/>
        </w:rPr>
        <w:t xml:space="preserve">  </w:t>
      </w:r>
    </w:p>
    <w:p w14:paraId="5E2E7B6E" w14:textId="12914B96" w:rsidR="00321703" w:rsidRPr="00A750A8" w:rsidRDefault="00321703" w:rsidP="00321703">
      <w:pPr>
        <w:rPr>
          <w:rFonts w:ascii="Times New Roman" w:eastAsia="Times New Roman" w:hAnsi="Times New Roman"/>
          <w:sz w:val="22"/>
          <w:szCs w:val="22"/>
        </w:rPr>
      </w:pPr>
      <w:r>
        <w:rPr>
          <w:rFonts w:ascii="Times New Roman" w:eastAsia="Times New Roman" w:hAnsi="Times New Roman"/>
          <w:sz w:val="22"/>
          <w:szCs w:val="22"/>
        </w:rPr>
        <w:t xml:space="preserve">Instructions and forms can be found at  </w:t>
      </w:r>
      <w:hyperlink r:id="rId8" w:history="1">
        <w:r w:rsidRPr="00EB4BCD">
          <w:rPr>
            <w:rStyle w:val="Hyperlink"/>
            <w:rFonts w:ascii="Times New Roman" w:eastAsia="Times New Roman" w:hAnsi="Times New Roman"/>
            <w:sz w:val="22"/>
            <w:szCs w:val="22"/>
          </w:rPr>
          <w:t>https://umassmed.edu/oea/ipeg_home/overview-2019/</w:t>
        </w:r>
      </w:hyperlink>
      <w:r>
        <w:rPr>
          <w:rFonts w:ascii="Times New Roman" w:eastAsia="Times New Roman" w:hAnsi="Times New Roman"/>
          <w:sz w:val="22"/>
          <w:szCs w:val="22"/>
        </w:rPr>
        <w:t xml:space="preserve"> </w:t>
      </w:r>
    </w:p>
    <w:p w14:paraId="27627E52" w14:textId="77777777" w:rsidR="00067B7B" w:rsidRDefault="00067B7B" w:rsidP="00A750A8">
      <w:pPr>
        <w:rPr>
          <w:rFonts w:ascii="Times New Roman" w:eastAsia="Times New Roman" w:hAnsi="Times New Roman"/>
          <w:b/>
          <w:sz w:val="22"/>
        </w:rPr>
      </w:pPr>
    </w:p>
    <w:p w14:paraId="0894E25D" w14:textId="7B7A2885" w:rsidR="00A750A8" w:rsidRPr="00A750A8" w:rsidRDefault="00A750A8" w:rsidP="00A750A8">
      <w:pPr>
        <w:rPr>
          <w:rFonts w:ascii="Times New Roman" w:eastAsia="Times New Roman" w:hAnsi="Times New Roman"/>
          <w:b/>
          <w:sz w:val="22"/>
        </w:rPr>
      </w:pPr>
      <w:r w:rsidRPr="00A750A8">
        <w:rPr>
          <w:rFonts w:ascii="Times New Roman" w:eastAsia="Times New Roman" w:hAnsi="Times New Roman"/>
          <w:b/>
          <w:sz w:val="22"/>
        </w:rPr>
        <w:t>Who</w:t>
      </w:r>
      <w:r w:rsidR="000F066D">
        <w:rPr>
          <w:rFonts w:ascii="Times New Roman" w:eastAsia="Times New Roman" w:hAnsi="Times New Roman"/>
          <w:b/>
          <w:sz w:val="22"/>
        </w:rPr>
        <w:t>m</w:t>
      </w:r>
      <w:r w:rsidRPr="00A750A8">
        <w:rPr>
          <w:rFonts w:ascii="Times New Roman" w:eastAsia="Times New Roman" w:hAnsi="Times New Roman"/>
          <w:b/>
          <w:sz w:val="22"/>
        </w:rPr>
        <w:t xml:space="preserve"> should I consult with regarding a proposal idea?</w:t>
      </w:r>
    </w:p>
    <w:p w14:paraId="1CB5C83D" w14:textId="77777777" w:rsidR="009C3348" w:rsidRPr="009C3348" w:rsidRDefault="00A750A8" w:rsidP="009C3348">
      <w:pPr>
        <w:rPr>
          <w:rFonts w:ascii="Times New Roman" w:eastAsia="Times New Roman" w:hAnsi="Times New Roman"/>
          <w:sz w:val="22"/>
          <w:szCs w:val="22"/>
        </w:rPr>
      </w:pPr>
      <w:r w:rsidRPr="00A750A8">
        <w:rPr>
          <w:rFonts w:ascii="Times New Roman" w:eastAsia="Times New Roman" w:hAnsi="Times New Roman"/>
          <w:sz w:val="22"/>
          <w:szCs w:val="24"/>
        </w:rPr>
        <w:t xml:space="preserve">Consultations can be arranged to meet applicants’ specific needs in designing their projects.  Consultants are available in such areas as research design, evaluation instrument development, standardized patients and simulation technology, as well as in content-specific areas.  Individuals who would like assistance in the development of their projects are encouraged to contact </w:t>
      </w:r>
      <w:r w:rsidR="009C3348" w:rsidRPr="009C3348">
        <w:rPr>
          <w:rFonts w:ascii="Times New Roman" w:eastAsia="Times New Roman" w:hAnsi="Times New Roman"/>
          <w:sz w:val="22"/>
          <w:szCs w:val="22"/>
        </w:rPr>
        <w:t xml:space="preserve">Ashton Gunn </w:t>
      </w:r>
    </w:p>
    <w:p w14:paraId="52BCC3B4" w14:textId="31A66185" w:rsidR="00A750A8" w:rsidRPr="00A750A8" w:rsidRDefault="009C3348" w:rsidP="009C3348">
      <w:pPr>
        <w:rPr>
          <w:rFonts w:ascii="Times New Roman" w:eastAsia="Times New Roman" w:hAnsi="Times New Roman"/>
          <w:sz w:val="22"/>
          <w:szCs w:val="24"/>
        </w:rPr>
      </w:pPr>
      <w:r w:rsidRPr="009C3348">
        <w:rPr>
          <w:rFonts w:ascii="Times New Roman" w:eastAsia="Times New Roman" w:hAnsi="Times New Roman"/>
          <w:sz w:val="22"/>
          <w:szCs w:val="22"/>
        </w:rPr>
        <w:t>(</w:t>
      </w:r>
      <w:hyperlink r:id="rId9" w:history="1">
        <w:r w:rsidR="00805B8F" w:rsidRPr="00EB4BCD">
          <w:rPr>
            <w:rStyle w:val="Hyperlink"/>
            <w:rFonts w:ascii="Times New Roman" w:eastAsia="Times New Roman" w:hAnsi="Times New Roman"/>
            <w:sz w:val="22"/>
            <w:szCs w:val="22"/>
          </w:rPr>
          <w:t>Ashton.Gunn@umassmed.edu</w:t>
        </w:r>
      </w:hyperlink>
      <w:r w:rsidR="00805B8F">
        <w:rPr>
          <w:rFonts w:ascii="Times New Roman" w:eastAsia="Times New Roman" w:hAnsi="Times New Roman"/>
          <w:sz w:val="22"/>
          <w:szCs w:val="22"/>
        </w:rPr>
        <w:t xml:space="preserve"> </w:t>
      </w:r>
      <w:r w:rsidRPr="009C3348">
        <w:rPr>
          <w:rFonts w:ascii="Times New Roman" w:eastAsia="Times New Roman" w:hAnsi="Times New Roman"/>
          <w:sz w:val="22"/>
          <w:szCs w:val="22"/>
        </w:rPr>
        <w:t>) for a referral.</w:t>
      </w:r>
    </w:p>
    <w:p w14:paraId="2EACB9E4" w14:textId="77777777" w:rsidR="00A750A8" w:rsidRPr="00A750A8" w:rsidRDefault="00A750A8" w:rsidP="00A750A8">
      <w:pPr>
        <w:rPr>
          <w:rFonts w:ascii="Times New Roman" w:eastAsia="Times New Roman" w:hAnsi="Times New Roman"/>
          <w:sz w:val="22"/>
          <w:szCs w:val="24"/>
        </w:rPr>
      </w:pPr>
    </w:p>
    <w:p w14:paraId="33643014" w14:textId="77777777" w:rsidR="00A750A8" w:rsidRPr="00A750A8" w:rsidRDefault="00A750A8" w:rsidP="00A750A8">
      <w:pPr>
        <w:tabs>
          <w:tab w:val="left" w:pos="720"/>
          <w:tab w:val="left" w:pos="1080"/>
        </w:tabs>
        <w:rPr>
          <w:rFonts w:ascii="Times New Roman" w:eastAsia="Times New Roman" w:hAnsi="Times New Roman"/>
          <w:sz w:val="22"/>
          <w:szCs w:val="24"/>
        </w:rPr>
      </w:pPr>
      <w:r w:rsidRPr="00A750A8">
        <w:rPr>
          <w:rFonts w:ascii="Times New Roman" w:eastAsia="Times New Roman" w:hAnsi="Times New Roman"/>
          <w:sz w:val="22"/>
          <w:szCs w:val="24"/>
        </w:rPr>
        <w:t>The following individuals are available to assist with proposal development in their particular areas of expertise:</w:t>
      </w:r>
    </w:p>
    <w:p w14:paraId="7AD55860"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Mary Ellen Lane, PhD, Dean of the Graduate School of Biomedical Sciences </w:t>
      </w:r>
    </w:p>
    <w:p w14:paraId="65AC44F9"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Deborah DeMarco, MD, Senior Associate Dean for Clinical Affairs </w:t>
      </w:r>
    </w:p>
    <w:p w14:paraId="1CDEE617"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Michael Ennis, MD, Assistant Dean for Student Advising, SOM </w:t>
      </w:r>
    </w:p>
    <w:p w14:paraId="2E2DCDD5"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Melissa Fischer, MD, MEd, Associate Dean for Undergraduate Medical Education, SOM </w:t>
      </w:r>
    </w:p>
    <w:p w14:paraId="2E3E372D"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Janet Hale, PhD, RN, Associate Dean for Academic Affairs, GSN </w:t>
      </w:r>
    </w:p>
    <w:p w14:paraId="23D7882D"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David Hatem, MD, Co-Director of Learning Communities, SOM </w:t>
      </w:r>
    </w:p>
    <w:p w14:paraId="1E8FDD1F"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Michael Kneeland, MD, Associate Dean of Allied Health and Interprofessional Education, SOM </w:t>
      </w:r>
    </w:p>
    <w:p w14:paraId="1022BFA3"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Anne Larkin, MD, Senior Associate Dean of Educational Affairs </w:t>
      </w:r>
    </w:p>
    <w:p w14:paraId="201E8DBC"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Joan Vitello, PhD, RN, Dean of the Graduate School of Nursing </w:t>
      </w:r>
    </w:p>
    <w:p w14:paraId="4F301DA4"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Scott Wellman, MD, Director Center of Academic Achievement</w:t>
      </w:r>
    </w:p>
    <w:p w14:paraId="03EE0D33" w14:textId="77777777" w:rsidR="00651FF6" w:rsidRPr="00651FF6" w:rsidRDefault="00651FF6" w:rsidP="00651FF6">
      <w:pPr>
        <w:numPr>
          <w:ilvl w:val="0"/>
          <w:numId w:val="2"/>
        </w:numPr>
        <w:tabs>
          <w:tab w:val="clear" w:pos="720"/>
        </w:tabs>
        <w:spacing w:before="100" w:beforeAutospacing="1" w:after="100" w:afterAutospacing="1"/>
        <w:rPr>
          <w:rFonts w:ascii="Times New Roman" w:eastAsia="Times New Roman" w:hAnsi="Times New Roman"/>
          <w:color w:val="000000"/>
          <w:sz w:val="22"/>
          <w:szCs w:val="22"/>
        </w:rPr>
      </w:pPr>
      <w:r w:rsidRPr="00651FF6">
        <w:rPr>
          <w:rFonts w:ascii="Times New Roman" w:eastAsia="Times New Roman" w:hAnsi="Times New Roman"/>
          <w:color w:val="000000"/>
          <w:sz w:val="22"/>
          <w:szCs w:val="22"/>
        </w:rPr>
        <w:t xml:space="preserve">Mary Zanetti, EdD, Senior Director of Institutional Research, Evaluation and Assessment </w:t>
      </w:r>
    </w:p>
    <w:p w14:paraId="19AA2688" w14:textId="28EF2E70" w:rsidR="009F4E22" w:rsidRPr="00A45F31" w:rsidRDefault="009F4E22" w:rsidP="005909F9">
      <w:pPr>
        <w:spacing w:before="100" w:beforeAutospacing="1" w:after="100" w:afterAutospacing="1"/>
        <w:ind w:left="360"/>
        <w:rPr>
          <w:rFonts w:ascii="Times New Roman" w:eastAsia="Times New Roman" w:hAnsi="Times New Roman"/>
          <w:color w:val="000000"/>
          <w:sz w:val="22"/>
          <w:szCs w:val="22"/>
        </w:rPr>
      </w:pPr>
    </w:p>
    <w:sectPr w:rsidR="009F4E22" w:rsidRPr="00A45F31" w:rsidSect="00A750A8">
      <w:headerReference w:type="default" r:id="rId10"/>
      <w:footerReference w:type="default" r:id="rId11"/>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C128" w14:textId="77777777" w:rsidR="00760C2D" w:rsidRDefault="00760C2D" w:rsidP="00A750A8">
      <w:r>
        <w:separator/>
      </w:r>
    </w:p>
  </w:endnote>
  <w:endnote w:type="continuationSeparator" w:id="0">
    <w:p w14:paraId="77D4C265" w14:textId="77777777" w:rsidR="00760C2D" w:rsidRDefault="00760C2D" w:rsidP="00A7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356A" w14:textId="3C5C7A79" w:rsidR="00A750A8" w:rsidRPr="00A750A8" w:rsidRDefault="00A750A8">
    <w:pPr>
      <w:pStyle w:val="Footer"/>
      <w:rPr>
        <w:b/>
      </w:rPr>
    </w:pPr>
    <w:r w:rsidRPr="00A750A8">
      <w:rPr>
        <w:b/>
      </w:rPr>
      <w:t xml:space="preserve">Page </w:t>
    </w:r>
    <w:r w:rsidR="000E09C2" w:rsidRPr="00A750A8">
      <w:rPr>
        <w:b/>
      </w:rPr>
      <w:fldChar w:fldCharType="begin"/>
    </w:r>
    <w:r w:rsidRPr="00A750A8">
      <w:rPr>
        <w:b/>
      </w:rPr>
      <w:instrText xml:space="preserve"> PAGE  \* Arabic  \* MERGEFORMAT </w:instrText>
    </w:r>
    <w:r w:rsidR="000E09C2" w:rsidRPr="00A750A8">
      <w:rPr>
        <w:b/>
      </w:rPr>
      <w:fldChar w:fldCharType="separate"/>
    </w:r>
    <w:r w:rsidR="00611B4D">
      <w:rPr>
        <w:b/>
        <w:noProof/>
      </w:rPr>
      <w:t>2</w:t>
    </w:r>
    <w:r w:rsidR="000E09C2" w:rsidRPr="00A750A8">
      <w:rPr>
        <w:b/>
      </w:rPr>
      <w:fldChar w:fldCharType="end"/>
    </w:r>
    <w:r w:rsidRPr="00A750A8">
      <w:rPr>
        <w:b/>
      </w:rPr>
      <w:t xml:space="preserve"> of </w:t>
    </w:r>
    <w:r w:rsidR="00805B8F">
      <w:rPr>
        <w:b/>
        <w:noProof/>
      </w:rPr>
      <w:fldChar w:fldCharType="begin"/>
    </w:r>
    <w:r w:rsidR="00805B8F">
      <w:rPr>
        <w:b/>
        <w:noProof/>
      </w:rPr>
      <w:instrText xml:space="preserve"> NUMPAGES  \* Arabic  \* MERGEFORMAT </w:instrText>
    </w:r>
    <w:r w:rsidR="00805B8F">
      <w:rPr>
        <w:b/>
        <w:noProof/>
      </w:rPr>
      <w:fldChar w:fldCharType="separate"/>
    </w:r>
    <w:r w:rsidR="00611B4D" w:rsidRPr="00611B4D">
      <w:rPr>
        <w:b/>
        <w:noProof/>
      </w:rPr>
      <w:t>2</w:t>
    </w:r>
    <w:r w:rsidR="00805B8F">
      <w:rPr>
        <w:b/>
        <w:noProof/>
      </w:rPr>
      <w:fldChar w:fldCharType="end"/>
    </w:r>
    <w:r w:rsidRPr="00A750A8">
      <w:rPr>
        <w:b/>
      </w:rPr>
      <w:tab/>
    </w:r>
    <w:r w:rsidRPr="00A750A8">
      <w:rPr>
        <w:b/>
      </w:rPr>
      <w:tab/>
    </w:r>
    <w:r w:rsidR="008A3BCF">
      <w:rPr>
        <w:b/>
      </w:rPr>
      <w:t>IPEG—Overview and Fact Sheet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081F9" w14:textId="77777777" w:rsidR="00760C2D" w:rsidRDefault="00760C2D" w:rsidP="00A750A8">
      <w:r>
        <w:separator/>
      </w:r>
    </w:p>
  </w:footnote>
  <w:footnote w:type="continuationSeparator" w:id="0">
    <w:p w14:paraId="49ADE9B9" w14:textId="77777777" w:rsidR="00760C2D" w:rsidRDefault="00760C2D" w:rsidP="00A75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2648" w14:textId="77777777" w:rsidR="00A750A8" w:rsidRPr="001F257C" w:rsidRDefault="00A750A8" w:rsidP="00A750A8">
    <w:pPr>
      <w:jc w:val="center"/>
      <w:rPr>
        <w:rFonts w:ascii="Times New Roman" w:hAnsi="Times New Roman"/>
        <w:b/>
      </w:rPr>
    </w:pPr>
    <w:r>
      <w:rPr>
        <w:rFonts w:ascii="Times New Roman" w:hAnsi="Times New Roman"/>
        <w:b/>
        <w:noProof/>
      </w:rPr>
      <w:drawing>
        <wp:anchor distT="0" distB="0" distL="114300" distR="114300" simplePos="0" relativeHeight="251658240" behindDoc="1" locked="0" layoutInCell="1" allowOverlap="1" wp14:anchorId="25CAD7C9" wp14:editId="71C506A2">
          <wp:simplePos x="0" y="0"/>
          <wp:positionH relativeFrom="column">
            <wp:posOffset>-657225</wp:posOffset>
          </wp:positionH>
          <wp:positionV relativeFrom="paragraph">
            <wp:posOffset>-144181</wp:posOffset>
          </wp:positionV>
          <wp:extent cx="1676400" cy="58656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tif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400" cy="586568"/>
                  </a:xfrm>
                  <a:prstGeom prst="rect">
                    <a:avLst/>
                  </a:prstGeom>
                </pic:spPr>
              </pic:pic>
            </a:graphicData>
          </a:graphic>
        </wp:anchor>
      </w:drawing>
    </w:r>
    <w:r>
      <w:rPr>
        <w:rFonts w:ascii="Times New Roman" w:hAnsi="Times New Roman"/>
        <w:b/>
      </w:rPr>
      <w:t xml:space="preserve">Interprofessional </w:t>
    </w:r>
    <w:r w:rsidRPr="001F257C">
      <w:rPr>
        <w:rFonts w:ascii="Times New Roman" w:hAnsi="Times New Roman"/>
        <w:b/>
      </w:rPr>
      <w:t>Education Grant</w:t>
    </w:r>
  </w:p>
  <w:p w14:paraId="743953B9" w14:textId="5AE53D98" w:rsidR="00A750A8" w:rsidRDefault="00A750A8" w:rsidP="00A750A8">
    <w:pPr>
      <w:jc w:val="center"/>
    </w:pPr>
    <w:r w:rsidRPr="001F257C">
      <w:rPr>
        <w:rFonts w:ascii="Times New Roman" w:hAnsi="Times New Roman"/>
        <w:b/>
      </w:rPr>
      <w:t xml:space="preserve">Funding Period:  </w:t>
    </w:r>
    <w:r w:rsidR="001F257C" w:rsidRPr="001F257C">
      <w:rPr>
        <w:rFonts w:ascii="Times New Roman" w:hAnsi="Times New Roman"/>
        <w:b/>
      </w:rPr>
      <w:t>August 1, 2019 – July 30,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875B9"/>
    <w:multiLevelType w:val="multilevel"/>
    <w:tmpl w:val="2D52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B4DB3"/>
    <w:multiLevelType w:val="hybridMultilevel"/>
    <w:tmpl w:val="13087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A74D4"/>
    <w:multiLevelType w:val="hybridMultilevel"/>
    <w:tmpl w:val="86DE7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0A8"/>
    <w:rsid w:val="00040520"/>
    <w:rsid w:val="000424EA"/>
    <w:rsid w:val="000448BE"/>
    <w:rsid w:val="00067B7B"/>
    <w:rsid w:val="00092069"/>
    <w:rsid w:val="000A76CD"/>
    <w:rsid w:val="000D7186"/>
    <w:rsid w:val="000E09C2"/>
    <w:rsid w:val="000F066D"/>
    <w:rsid w:val="00161968"/>
    <w:rsid w:val="00165124"/>
    <w:rsid w:val="00173CC4"/>
    <w:rsid w:val="00183CA5"/>
    <w:rsid w:val="001B7EDF"/>
    <w:rsid w:val="001F0F91"/>
    <w:rsid w:val="001F257C"/>
    <w:rsid w:val="00202D5E"/>
    <w:rsid w:val="00203CF2"/>
    <w:rsid w:val="002545EC"/>
    <w:rsid w:val="00271B11"/>
    <w:rsid w:val="002974BF"/>
    <w:rsid w:val="002A0BAD"/>
    <w:rsid w:val="002A37B7"/>
    <w:rsid w:val="002B0547"/>
    <w:rsid w:val="002B6AA6"/>
    <w:rsid w:val="00304E3F"/>
    <w:rsid w:val="00321703"/>
    <w:rsid w:val="00322158"/>
    <w:rsid w:val="00396206"/>
    <w:rsid w:val="003C75D2"/>
    <w:rsid w:val="004003BD"/>
    <w:rsid w:val="0043036C"/>
    <w:rsid w:val="00432362"/>
    <w:rsid w:val="004B2C7D"/>
    <w:rsid w:val="005150A3"/>
    <w:rsid w:val="005909F9"/>
    <w:rsid w:val="005B37AB"/>
    <w:rsid w:val="0060357E"/>
    <w:rsid w:val="0060680E"/>
    <w:rsid w:val="00611B4D"/>
    <w:rsid w:val="006162F5"/>
    <w:rsid w:val="006266B7"/>
    <w:rsid w:val="00651FF6"/>
    <w:rsid w:val="00652CD1"/>
    <w:rsid w:val="0066570D"/>
    <w:rsid w:val="00695024"/>
    <w:rsid w:val="006A3B6F"/>
    <w:rsid w:val="006D2A93"/>
    <w:rsid w:val="006E280D"/>
    <w:rsid w:val="00703E08"/>
    <w:rsid w:val="007363F3"/>
    <w:rsid w:val="0075262B"/>
    <w:rsid w:val="00760C2D"/>
    <w:rsid w:val="007C36BC"/>
    <w:rsid w:val="00805B8F"/>
    <w:rsid w:val="008178FA"/>
    <w:rsid w:val="0089253B"/>
    <w:rsid w:val="008A3BCF"/>
    <w:rsid w:val="008A6D3F"/>
    <w:rsid w:val="008C7C48"/>
    <w:rsid w:val="009778FF"/>
    <w:rsid w:val="009A51D0"/>
    <w:rsid w:val="009C3348"/>
    <w:rsid w:val="009C6F2A"/>
    <w:rsid w:val="009F4E22"/>
    <w:rsid w:val="00A13460"/>
    <w:rsid w:val="00A41B0E"/>
    <w:rsid w:val="00A45F31"/>
    <w:rsid w:val="00A61BF6"/>
    <w:rsid w:val="00A620EB"/>
    <w:rsid w:val="00A63B75"/>
    <w:rsid w:val="00A65986"/>
    <w:rsid w:val="00A750A8"/>
    <w:rsid w:val="00B3202B"/>
    <w:rsid w:val="00B505C5"/>
    <w:rsid w:val="00B63EE3"/>
    <w:rsid w:val="00B951B0"/>
    <w:rsid w:val="00BA45B0"/>
    <w:rsid w:val="00BB3D42"/>
    <w:rsid w:val="00BC2803"/>
    <w:rsid w:val="00C26000"/>
    <w:rsid w:val="00C67064"/>
    <w:rsid w:val="00C94AD2"/>
    <w:rsid w:val="00C95DC2"/>
    <w:rsid w:val="00D3547D"/>
    <w:rsid w:val="00D54241"/>
    <w:rsid w:val="00D747C6"/>
    <w:rsid w:val="00D84D6E"/>
    <w:rsid w:val="00DA7DE8"/>
    <w:rsid w:val="00DD4F38"/>
    <w:rsid w:val="00E17D08"/>
    <w:rsid w:val="00E33443"/>
    <w:rsid w:val="00E43990"/>
    <w:rsid w:val="00E61627"/>
    <w:rsid w:val="00E65CAC"/>
    <w:rsid w:val="00E7469B"/>
    <w:rsid w:val="00EA0D17"/>
    <w:rsid w:val="00F50284"/>
    <w:rsid w:val="00F53195"/>
    <w:rsid w:val="00F661D5"/>
    <w:rsid w:val="00F8391C"/>
    <w:rsid w:val="00FD4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28EF2"/>
  <w15:docId w15:val="{69EC3EFD-E6B0-40EA-B7A9-595F278F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hAnsi="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0A8"/>
    <w:rPr>
      <w:rFonts w:ascii="Times" w:eastAsia="Times New Roman"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50A8"/>
    <w:pPr>
      <w:tabs>
        <w:tab w:val="center" w:pos="4680"/>
        <w:tab w:val="right" w:pos="9360"/>
      </w:tabs>
    </w:pPr>
  </w:style>
  <w:style w:type="character" w:customStyle="1" w:styleId="HeaderChar">
    <w:name w:val="Header Char"/>
    <w:basedOn w:val="DefaultParagraphFont"/>
    <w:link w:val="Header"/>
    <w:uiPriority w:val="99"/>
    <w:rsid w:val="00A750A8"/>
    <w:rPr>
      <w:rFonts w:ascii="Calibri" w:hAnsi="Calibri"/>
      <w:sz w:val="20"/>
      <w:szCs w:val="20"/>
    </w:rPr>
  </w:style>
  <w:style w:type="paragraph" w:styleId="Footer">
    <w:name w:val="footer"/>
    <w:basedOn w:val="Normal"/>
    <w:link w:val="FooterChar"/>
    <w:uiPriority w:val="99"/>
    <w:unhideWhenUsed/>
    <w:rsid w:val="00A750A8"/>
    <w:pPr>
      <w:tabs>
        <w:tab w:val="center" w:pos="4680"/>
        <w:tab w:val="right" w:pos="9360"/>
      </w:tabs>
    </w:pPr>
  </w:style>
  <w:style w:type="character" w:customStyle="1" w:styleId="FooterChar">
    <w:name w:val="Footer Char"/>
    <w:basedOn w:val="DefaultParagraphFont"/>
    <w:link w:val="Footer"/>
    <w:uiPriority w:val="99"/>
    <w:rsid w:val="00A750A8"/>
    <w:rPr>
      <w:rFonts w:ascii="Calibri" w:hAnsi="Calibri"/>
      <w:sz w:val="20"/>
      <w:szCs w:val="20"/>
    </w:rPr>
  </w:style>
  <w:style w:type="paragraph" w:styleId="BalloonText">
    <w:name w:val="Balloon Text"/>
    <w:basedOn w:val="Normal"/>
    <w:link w:val="BalloonTextChar"/>
    <w:uiPriority w:val="99"/>
    <w:semiHidden/>
    <w:unhideWhenUsed/>
    <w:rsid w:val="00B505C5"/>
    <w:rPr>
      <w:rFonts w:ascii="Tahoma" w:hAnsi="Tahoma" w:cs="Tahoma"/>
      <w:sz w:val="16"/>
      <w:szCs w:val="16"/>
    </w:rPr>
  </w:style>
  <w:style w:type="character" w:customStyle="1" w:styleId="BalloonTextChar">
    <w:name w:val="Balloon Text Char"/>
    <w:basedOn w:val="DefaultParagraphFont"/>
    <w:link w:val="BalloonText"/>
    <w:uiPriority w:val="99"/>
    <w:semiHidden/>
    <w:rsid w:val="00B505C5"/>
    <w:rPr>
      <w:rFonts w:ascii="Tahoma" w:hAnsi="Tahoma" w:cs="Tahoma"/>
      <w:sz w:val="16"/>
      <w:szCs w:val="16"/>
    </w:rPr>
  </w:style>
  <w:style w:type="paragraph" w:styleId="ListParagraph">
    <w:name w:val="List Paragraph"/>
    <w:basedOn w:val="Normal"/>
    <w:uiPriority w:val="34"/>
    <w:qFormat/>
    <w:rsid w:val="00067B7B"/>
    <w:pPr>
      <w:ind w:left="720"/>
      <w:contextualSpacing/>
    </w:pPr>
  </w:style>
  <w:style w:type="character" w:styleId="Hyperlink">
    <w:name w:val="Hyperlink"/>
    <w:basedOn w:val="DefaultParagraphFont"/>
    <w:uiPriority w:val="99"/>
    <w:unhideWhenUsed/>
    <w:rsid w:val="00D3547D"/>
    <w:rPr>
      <w:color w:val="0000FF" w:themeColor="hyperlink"/>
      <w:u w:val="single"/>
    </w:rPr>
  </w:style>
  <w:style w:type="character" w:styleId="UnresolvedMention">
    <w:name w:val="Unresolved Mention"/>
    <w:basedOn w:val="DefaultParagraphFont"/>
    <w:uiPriority w:val="99"/>
    <w:semiHidden/>
    <w:unhideWhenUsed/>
    <w:rsid w:val="009C3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ssmed.edu/oea/ipeg_home/overview-20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hton.Gunn@umassme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3B5FF-A83E-45B7-B2DF-28B4C1E27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Gunn, Ashton</cp:lastModifiedBy>
  <cp:revision>3</cp:revision>
  <cp:lastPrinted>2013-01-09T20:14:00Z</cp:lastPrinted>
  <dcterms:created xsi:type="dcterms:W3CDTF">2019-06-21T14:11:00Z</dcterms:created>
  <dcterms:modified xsi:type="dcterms:W3CDTF">2019-06-21T14:18:00Z</dcterms:modified>
</cp:coreProperties>
</file>