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E418" w14:textId="77777777" w:rsidR="009234BE" w:rsidRDefault="009234BE" w:rsidP="009234BE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Further Reading and Resources</w:t>
      </w:r>
    </w:p>
    <w:p w14:paraId="06D95CAA" w14:textId="77777777" w:rsidR="009234BE" w:rsidRDefault="009234BE" w:rsidP="009234BE">
      <w:pPr>
        <w:rPr>
          <w:rFonts w:ascii="Arial" w:eastAsia="Arial" w:hAnsi="Arial" w:cs="Arial"/>
          <w:b/>
          <w:sz w:val="20"/>
          <w:szCs w:val="20"/>
          <w:u w:val="single"/>
        </w:rPr>
      </w:pPr>
    </w:p>
    <w:p w14:paraId="5BC4A778" w14:textId="77777777" w:rsidR="009234BE" w:rsidRDefault="009234BE" w:rsidP="009234BE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Medical Education Reading and Resources</w:t>
      </w:r>
    </w:p>
    <w:p w14:paraId="22598BE6" w14:textId="77777777" w:rsidR="009234BE" w:rsidRDefault="009234BE" w:rsidP="009234BE">
      <w:pPr>
        <w:rPr>
          <w:rFonts w:ascii="Arial" w:eastAsia="Arial" w:hAnsi="Arial" w:cs="Arial"/>
          <w:sz w:val="20"/>
          <w:szCs w:val="20"/>
        </w:rPr>
      </w:pPr>
    </w:p>
    <w:p w14:paraId="6058C035" w14:textId="77777777" w:rsidR="009234BE" w:rsidRPr="008021A5" w:rsidRDefault="009234BE" w:rsidP="009234BE">
      <w:pPr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Anderson, L. W., &amp; Krathwohl, D. R. (2001). A taxonomy for learning, teaching, and assessing, Abridged Edition. Boston, MA: Allyn and Bacon.</w:t>
      </w:r>
    </w:p>
    <w:p w14:paraId="47D2A04C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</w:rPr>
      </w:pPr>
    </w:p>
    <w:p w14:paraId="765C64CA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>Armstrong, P. (2010). Bloom’s Taxonomy. Vanderbilt University Center for Teaching. Retrieved [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todaysdate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] from </w:t>
      </w:r>
      <w:hyperlink r:id="rId5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https://cft.vanderbilt.edu/guides-sub-pages/blooms-taxonomy/</w:t>
        </w:r>
      </w:hyperlink>
      <w:r>
        <w:rPr>
          <w:rFonts w:ascii="Arial" w:eastAsia="Arial" w:hAnsi="Arial" w:cs="Arial"/>
          <w:color w:val="222222"/>
          <w:sz w:val="20"/>
          <w:szCs w:val="20"/>
        </w:rPr>
        <w:t>.</w:t>
      </w:r>
    </w:p>
    <w:p w14:paraId="519389C6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24195C74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Ende, J. (1983). Feedback in clinical medical education.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Jama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250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(6), 777-781.</w:t>
      </w:r>
    </w:p>
    <w:p w14:paraId="7BFC9AB7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24C850C0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Hutchinson, L. (2003). Educational environment.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Bmj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326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(7393), 810-812.</w:t>
      </w:r>
    </w:p>
    <w:p w14:paraId="33CE8960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1579077D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Martin, S. K., Ahn, J., Farnan, J. M., &amp; Fromme, H. B. (2016). Introduction to curriculum development and medical education scholarship for resident trainees: a webinar series. </w:t>
      </w:r>
      <w:proofErr w:type="spellStart"/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MedEdPORTAL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12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, 10454.</w:t>
      </w:r>
    </w:p>
    <w:p w14:paraId="5F20F131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0DD1DA24" w14:textId="77777777" w:rsidR="009234BE" w:rsidRDefault="009234BE" w:rsidP="009234BE">
      <w:pPr>
        <w:rPr>
          <w:rFonts w:ascii="Arial" w:eastAsia="Arial" w:hAnsi="Arial" w:cs="Arial"/>
          <w:b/>
          <w:bCs/>
          <w:color w:val="222222"/>
          <w:sz w:val="20"/>
          <w:szCs w:val="20"/>
          <w:highlight w:val="white"/>
          <w:u w:val="single"/>
        </w:rPr>
      </w:pPr>
      <w:r w:rsidRPr="008021A5">
        <w:rPr>
          <w:rFonts w:ascii="Arial" w:eastAsia="Arial" w:hAnsi="Arial" w:cs="Arial"/>
          <w:b/>
          <w:bCs/>
          <w:color w:val="222222"/>
          <w:sz w:val="20"/>
          <w:szCs w:val="20"/>
          <w:highlight w:val="white"/>
          <w:u w:val="single"/>
        </w:rPr>
        <w:t>Med Ed Scholarship Resources</w:t>
      </w:r>
    </w:p>
    <w:p w14:paraId="46AA5BCA" w14:textId="77777777" w:rsidR="009234BE" w:rsidRPr="008021A5" w:rsidRDefault="009234BE" w:rsidP="009234BE">
      <w:pPr>
        <w:rPr>
          <w:rFonts w:ascii="Arial" w:eastAsia="Arial" w:hAnsi="Arial" w:cs="Arial"/>
          <w:b/>
          <w:bCs/>
          <w:color w:val="222222"/>
          <w:sz w:val="20"/>
          <w:szCs w:val="20"/>
          <w:highlight w:val="white"/>
          <w:u w:val="single"/>
        </w:rPr>
      </w:pPr>
    </w:p>
    <w:p w14:paraId="10901D84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Artino Jr, A. R., &amp; Gehlbach, H. (2012). AM last page: Avoiding four visual-design pitfalls in survey development.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Academic Medicine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87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(10), 1452.</w:t>
      </w:r>
    </w:p>
    <w:p w14:paraId="03C90F39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5359AF02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Artino Jr, A. R., Phillips, A. W.,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Utrankar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A., Ta, A. Q., &amp; Durning, S. J. (2018). “The questions shape the answers”: assessing the quality of published survey instruments in health professions education research.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Academic Medicine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93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(3), 456-463.</w:t>
      </w:r>
    </w:p>
    <w:p w14:paraId="329BCD7F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1E275EF3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Gehlbach, H., Artino Jr, A. R., &amp; Durning, S. J. (2010). AM last page: survey development guidance for medical education researchers.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Academic Medicine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85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(5), 925.</w:t>
      </w:r>
    </w:p>
    <w:p w14:paraId="677253A3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27FF795F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Page, A. L. AM Last Page: Avoiding Five Common Pitfalls of Survey Design.</w:t>
      </w:r>
    </w:p>
    <w:p w14:paraId="0EDFED3C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3F9CC15B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Page, A. L. AM Last Page: Reliability and Validity in Educational Measurement.</w:t>
      </w:r>
    </w:p>
    <w:p w14:paraId="7BB2A07D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0EC3D2D9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Rickards, G., Magee, C., &amp; Artino Jr, A. R. (2012). You can't fix by analysis what you've spoiled by design: developing survey instruments and collecting validity evidence.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Journal of graduate medical education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4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(4), 407-410.</w:t>
      </w:r>
    </w:p>
    <w:p w14:paraId="097C96FE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0BB93EAE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Sundy-Boyles, K. L., Archer, M. C., Painter, A. E., Beck </w:t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Dallaghan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G. L., &amp; </w:t>
      </w: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Zwemer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E. K. (2023). Educational Scholarship: A Modern Guide to Dissemination.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Hospital Pediatrics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13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(9), e263-e267.</w:t>
      </w:r>
    </w:p>
    <w:p w14:paraId="5CA659B9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74CCF71B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Willis, G. B., &amp; Artino Jr, A. R. (2013). What do our respondents think we're asking? Using cognitive interviewing to improve medical education surveys.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Journal of graduate medical education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, </w:t>
      </w:r>
      <w:r>
        <w:rPr>
          <w:rFonts w:ascii="Arial" w:eastAsia="Arial" w:hAnsi="Arial" w:cs="Arial"/>
          <w:i/>
          <w:color w:val="222222"/>
          <w:sz w:val="20"/>
          <w:szCs w:val="20"/>
          <w:highlight w:val="white"/>
        </w:rPr>
        <w:t>5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(3), 353-356.</w:t>
      </w:r>
    </w:p>
    <w:p w14:paraId="7630AC09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4444BE65" w14:textId="77777777" w:rsidR="009234BE" w:rsidRPr="008021A5" w:rsidRDefault="009234BE" w:rsidP="009234BE">
      <w:pPr>
        <w:rPr>
          <w:rFonts w:ascii="Arial" w:eastAsia="Arial" w:hAnsi="Arial" w:cs="Arial"/>
          <w:b/>
          <w:bCs/>
          <w:color w:val="222222"/>
          <w:sz w:val="20"/>
          <w:szCs w:val="20"/>
          <w:highlight w:val="white"/>
          <w:u w:val="single"/>
        </w:rPr>
      </w:pPr>
      <w:r w:rsidRPr="008021A5">
        <w:rPr>
          <w:rFonts w:ascii="Arial" w:eastAsia="Arial" w:hAnsi="Arial" w:cs="Arial"/>
          <w:b/>
          <w:bCs/>
          <w:color w:val="222222"/>
          <w:sz w:val="20"/>
          <w:szCs w:val="20"/>
          <w:highlight w:val="white"/>
          <w:u w:val="single"/>
        </w:rPr>
        <w:t>DEI Resources</w:t>
      </w:r>
    </w:p>
    <w:p w14:paraId="1C48FC8A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370CF76D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B83A5E">
        <w:rPr>
          <w:rFonts w:ascii="Arial" w:eastAsia="Times New Roman" w:hAnsi="Arial" w:cs="Arial"/>
          <w:color w:val="000000"/>
          <w:sz w:val="20"/>
          <w:szCs w:val="20"/>
        </w:rPr>
        <w:t>Arora, V. M., Carter, K., &amp; Babcock, C. (2022). Bias in Assessment Needs Urgent Attention—No Rest for the “Wicked”. JAMA Network Open, 5(11), e2243143-e2243143.</w:t>
      </w:r>
    </w:p>
    <w:p w14:paraId="077CDA68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5BD37809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B83A5E">
        <w:rPr>
          <w:rFonts w:ascii="Arial" w:eastAsia="Times New Roman" w:hAnsi="Arial" w:cs="Arial"/>
          <w:color w:val="000000"/>
          <w:sz w:val="20"/>
          <w:szCs w:val="20"/>
        </w:rPr>
        <w:t>Wesevich</w:t>
      </w:r>
      <w:proofErr w:type="spellEnd"/>
      <w:r w:rsidRPr="00B83A5E">
        <w:rPr>
          <w:rFonts w:ascii="Arial" w:eastAsia="Times New Roman" w:hAnsi="Arial" w:cs="Arial"/>
          <w:color w:val="000000"/>
          <w:sz w:val="20"/>
          <w:szCs w:val="20"/>
        </w:rPr>
        <w:t xml:space="preserve">, A., Patel-Nguyen, S., Fridman, I., Langan, E., &amp; Parente, V. (2023). Patient Factors Associated </w:t>
      </w:r>
      <w:proofErr w:type="gramStart"/>
      <w:r w:rsidRPr="00B83A5E">
        <w:rPr>
          <w:rFonts w:ascii="Arial" w:eastAsia="Times New Roman" w:hAnsi="Arial" w:cs="Arial"/>
          <w:color w:val="000000"/>
          <w:sz w:val="20"/>
          <w:szCs w:val="20"/>
        </w:rPr>
        <w:t>With</w:t>
      </w:r>
      <w:proofErr w:type="gramEnd"/>
      <w:r w:rsidRPr="00B83A5E">
        <w:rPr>
          <w:rFonts w:ascii="Arial" w:eastAsia="Times New Roman" w:hAnsi="Arial" w:cs="Arial"/>
          <w:color w:val="000000"/>
          <w:sz w:val="20"/>
          <w:szCs w:val="20"/>
        </w:rPr>
        <w:t xml:space="preserve"> Biased Language in Nightly Resident Verbal Handoff. JAMA pediatrics, 177(10), 1098-1100.</w:t>
      </w:r>
    </w:p>
    <w:p w14:paraId="5AB0CA35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</w:p>
    <w:p w14:paraId="4B4A4465" w14:textId="77777777" w:rsidR="009234BE" w:rsidRDefault="009234BE" w:rsidP="009234BE">
      <w:pPr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Websites:</w:t>
      </w:r>
    </w:p>
    <w:p w14:paraId="7B2EBB2B" w14:textId="77777777" w:rsidR="009234BE" w:rsidRPr="004E6F94" w:rsidRDefault="00A77E40" w:rsidP="009234B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r w:rsidR="009234BE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https://www.carilionclinic.org/Reducing%20Bias</w:t>
        </w:r>
      </w:hyperlink>
    </w:p>
    <w:p w14:paraId="4ACF50B7" w14:textId="77777777" w:rsidR="009234BE" w:rsidRPr="004E6F94" w:rsidRDefault="00A77E40" w:rsidP="009234BE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="009234BE"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https://meded.dom.pitt.edu/minimizing-bias-in-medical-student-evaluation-and-recommendation-how-to-achieve-educational-equity/</w:t>
        </w:r>
      </w:hyperlink>
    </w:p>
    <w:p w14:paraId="0E584C22" w14:textId="77777777" w:rsidR="009234BE" w:rsidRPr="004E6F94" w:rsidRDefault="00A77E40" w:rsidP="009234B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hyperlink r:id="rId8" w:history="1">
        <w:r w:rsidR="009234BE" w:rsidRPr="004E6F94">
          <w:rPr>
            <w:rStyle w:val="Hyperlink"/>
            <w:rFonts w:ascii="Arial" w:hAnsi="Arial" w:cs="Arial"/>
            <w:sz w:val="20"/>
            <w:szCs w:val="20"/>
          </w:rPr>
          <w:t>Race-based medicine is wrong. How should physicians oppose it? | American Medical Association (ama-assn.org)</w:t>
        </w:r>
      </w:hyperlink>
    </w:p>
    <w:p w14:paraId="6C6D6B0C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3CB09C21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Youtube</w:t>
      </w:r>
      <w:proofErr w:type="spell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 Videos:</w:t>
      </w:r>
    </w:p>
    <w:p w14:paraId="5E625FB3" w14:textId="77777777" w:rsidR="009234BE" w:rsidRPr="004E6F94" w:rsidRDefault="009234BE" w:rsidP="009234B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0"/>
          <w:szCs w:val="20"/>
        </w:rPr>
      </w:pPr>
      <w:r w:rsidRPr="004E6F94">
        <w:rPr>
          <w:rFonts w:ascii="Arial" w:eastAsia="Times New Roman" w:hAnsi="Arial" w:cs="Arial"/>
          <w:color w:val="000000"/>
          <w:sz w:val="20"/>
          <w:szCs w:val="20"/>
        </w:rPr>
        <w:t>How to write high-quality evaluations without bias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- </w:t>
      </w:r>
      <w:hyperlink r:id="rId9" w:history="1">
        <w:r w:rsidRPr="000E3E19">
          <w:rPr>
            <w:rStyle w:val="Hyperlink"/>
            <w:rFonts w:ascii="Arial" w:eastAsia="Times New Roman" w:hAnsi="Arial" w:cs="Arial"/>
            <w:sz w:val="20"/>
            <w:szCs w:val="20"/>
          </w:rPr>
          <w:t>https://www.youtube.com/watch?v=kMr1NK3Mwx0</w:t>
        </w:r>
      </w:hyperlink>
    </w:p>
    <w:p w14:paraId="7EFE3B54" w14:textId="77777777" w:rsidR="009234BE" w:rsidRDefault="009234BE" w:rsidP="009234BE">
      <w:pPr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14:paraId="2DFB2456" w14:textId="77777777" w:rsidR="004C6383" w:rsidRDefault="004C6383"/>
    <w:sectPr w:rsidR="004C63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B246B"/>
    <w:multiLevelType w:val="multilevel"/>
    <w:tmpl w:val="F21C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7415"/>
    <w:multiLevelType w:val="multilevel"/>
    <w:tmpl w:val="055E4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47873580">
    <w:abstractNumId w:val="0"/>
  </w:num>
  <w:num w:numId="2" w16cid:durableId="527524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BE"/>
    <w:rsid w:val="004C6383"/>
    <w:rsid w:val="009234BE"/>
    <w:rsid w:val="00A7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5A972"/>
  <w15:chartTrackingRefBased/>
  <w15:docId w15:val="{6CB7C078-3C7F-4C70-92EC-B6F920A1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4BE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34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-assn.org/delivering-care/health-equity/race-based-medicine-wrong-how-should-physicians-oppose-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ed.dom.pitt.edu/minimizing-bias-in-medical-student-evaluation-and-recommendation-how-to-achieve-educational-equi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rilionclinic.org/Reducing%20Bia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ft.vanderbilt.edu/guides-sub-pages/blooms-taxonom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kMr1NK3Mwx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2882</Characters>
  <Application>Microsoft Office Word</Application>
  <DocSecurity>4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Sanjay Chainani</dc:creator>
  <cp:keywords/>
  <dc:description/>
  <cp:lastModifiedBy>Wynne, Kathryn</cp:lastModifiedBy>
  <cp:revision>2</cp:revision>
  <dcterms:created xsi:type="dcterms:W3CDTF">2023-12-19T18:43:00Z</dcterms:created>
  <dcterms:modified xsi:type="dcterms:W3CDTF">2023-12-19T18:43:00Z</dcterms:modified>
</cp:coreProperties>
</file>