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1A4" w:rsidRPr="006F1CBE" w:rsidRDefault="005321A4" w:rsidP="005321A4">
      <w:pPr>
        <w:spacing w:line="276" w:lineRule="auto"/>
        <w:rPr>
          <w:b/>
          <w:color w:val="000000" w:themeColor="text1"/>
          <w:sz w:val="22"/>
          <w:szCs w:val="22"/>
        </w:rPr>
      </w:pPr>
      <w:r w:rsidRPr="006F1CBE">
        <w:rPr>
          <w:b/>
          <w:color w:val="000000" w:themeColor="text1"/>
          <w:sz w:val="22"/>
          <w:szCs w:val="22"/>
        </w:rPr>
        <w:t xml:space="preserve">Chronic Kidney Disease (Objective I.5, II.5) </w:t>
      </w:r>
    </w:p>
    <w:p w:rsidR="005321A4" w:rsidRDefault="005321A4" w:rsidP="005321A4">
      <w:pPr>
        <w:pStyle w:val="ListParagraph"/>
        <w:numPr>
          <w:ilvl w:val="0"/>
          <w:numId w:val="1"/>
        </w:numPr>
        <w:spacing w:line="276" w:lineRule="auto"/>
        <w:rPr>
          <w:color w:val="000000" w:themeColor="text1"/>
          <w:sz w:val="22"/>
          <w:szCs w:val="22"/>
        </w:rPr>
      </w:pPr>
      <w:r w:rsidRPr="006F1CBE">
        <w:rPr>
          <w:color w:val="000000" w:themeColor="text1"/>
          <w:sz w:val="22"/>
          <w:szCs w:val="22"/>
        </w:rPr>
        <w:t xml:space="preserve">Chronic kidney disease is defined by the </w:t>
      </w:r>
      <w:hyperlink r:id="rId5" w:history="1">
        <w:r w:rsidRPr="006F1CBE">
          <w:rPr>
            <w:rStyle w:val="Hyperlink"/>
            <w:b/>
            <w:sz w:val="22"/>
            <w:szCs w:val="22"/>
          </w:rPr>
          <w:t>KDIGO guidelines</w:t>
        </w:r>
      </w:hyperlink>
      <w:r w:rsidRPr="006F1CBE">
        <w:rPr>
          <w:color w:val="4472C4" w:themeColor="accent1"/>
          <w:sz w:val="22"/>
          <w:szCs w:val="22"/>
        </w:rPr>
        <w:t xml:space="preserve"> </w:t>
      </w:r>
      <w:r w:rsidRPr="006F1CBE">
        <w:rPr>
          <w:color w:val="000000" w:themeColor="text1"/>
          <w:sz w:val="22"/>
          <w:szCs w:val="22"/>
        </w:rPr>
        <w:t>according to the following table. Of note, age appropriate values should be considered for all pediatric patients, especially under the age of 2 (KDIGO 2012).</w:t>
      </w:r>
      <w:r w:rsidRPr="006F1CBE">
        <w:rPr>
          <w:noProof/>
          <w:color w:val="000000" w:themeColor="text1"/>
          <w:sz w:val="22"/>
          <w:szCs w:val="22"/>
        </w:rPr>
        <w:drawing>
          <wp:inline distT="0" distB="0" distL="0" distR="0" wp14:anchorId="51ECACBC" wp14:editId="7FAB7B9D">
            <wp:extent cx="5938520" cy="1710690"/>
            <wp:effectExtent l="0" t="0" r="5080" b="0"/>
            <wp:docPr id="14" name="Picture 14" descr="Desktop/Screen%20Shot%202020-07-22%20at%2012.54.38%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ktop/Screen%20Shot%202020-07-22%20at%2012.54.38%20P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8520" cy="1710690"/>
                    </a:xfrm>
                    <a:prstGeom prst="rect">
                      <a:avLst/>
                    </a:prstGeom>
                    <a:noFill/>
                    <a:ln>
                      <a:noFill/>
                    </a:ln>
                  </pic:spPr>
                </pic:pic>
              </a:graphicData>
            </a:graphic>
          </wp:inline>
        </w:drawing>
      </w:r>
    </w:p>
    <w:p w:rsidR="005321A4" w:rsidRPr="002F53E2" w:rsidRDefault="005321A4" w:rsidP="005321A4">
      <w:pPr>
        <w:spacing w:line="276" w:lineRule="auto"/>
        <w:jc w:val="right"/>
        <w:rPr>
          <w:color w:val="000000" w:themeColor="text1"/>
          <w:sz w:val="22"/>
          <w:szCs w:val="22"/>
        </w:rPr>
      </w:pPr>
      <w:r>
        <w:rPr>
          <w:color w:val="000000" w:themeColor="text1"/>
          <w:sz w:val="22"/>
          <w:szCs w:val="22"/>
        </w:rPr>
        <w:t>KDIGO 2012</w:t>
      </w:r>
    </w:p>
    <w:p w:rsidR="005321A4" w:rsidRPr="006F1CBE" w:rsidRDefault="005321A4" w:rsidP="005321A4">
      <w:pPr>
        <w:pStyle w:val="ListParagraph"/>
        <w:numPr>
          <w:ilvl w:val="0"/>
          <w:numId w:val="1"/>
        </w:numPr>
        <w:spacing w:line="276" w:lineRule="auto"/>
        <w:rPr>
          <w:color w:val="000000" w:themeColor="text1"/>
          <w:sz w:val="22"/>
          <w:szCs w:val="22"/>
        </w:rPr>
      </w:pPr>
      <w:r w:rsidRPr="006F1CBE">
        <w:rPr>
          <w:color w:val="000000" w:themeColor="text1"/>
          <w:sz w:val="22"/>
          <w:szCs w:val="22"/>
        </w:rPr>
        <w:t>Chronic kidney disease is classified in children over the age of 2 according to the glomerular filtration rate as outlined in the table below.  In children under the age of 2, GFR is classified according to age with values stratified as normal, moderately reduced, or severely reduced (KDIGO 2012).</w:t>
      </w:r>
    </w:p>
    <w:p w:rsidR="005321A4" w:rsidRDefault="005321A4" w:rsidP="005321A4">
      <w:pPr>
        <w:pStyle w:val="ListParagraph"/>
        <w:spacing w:line="276" w:lineRule="auto"/>
        <w:ind w:firstLine="720"/>
        <w:rPr>
          <w:color w:val="000000" w:themeColor="text1"/>
          <w:sz w:val="22"/>
          <w:szCs w:val="22"/>
        </w:rPr>
      </w:pPr>
      <w:r w:rsidRPr="006F1CBE">
        <w:rPr>
          <w:noProof/>
          <w:color w:val="000000" w:themeColor="text1"/>
          <w:sz w:val="22"/>
          <w:szCs w:val="22"/>
        </w:rPr>
        <w:drawing>
          <wp:inline distT="0" distB="0" distL="0" distR="0" wp14:anchorId="70B235A3" wp14:editId="7FC094F0">
            <wp:extent cx="4345940" cy="2205355"/>
            <wp:effectExtent l="0" t="0" r="0" b="4445"/>
            <wp:docPr id="15" name="Picture 15" descr="Desktop/Screen%20Shot%202020-07-22%20at%201.08.02%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ktop/Screen%20Shot%202020-07-22%20at%201.08.02%20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5940" cy="2205355"/>
                    </a:xfrm>
                    <a:prstGeom prst="rect">
                      <a:avLst/>
                    </a:prstGeom>
                    <a:noFill/>
                    <a:ln>
                      <a:noFill/>
                    </a:ln>
                  </pic:spPr>
                </pic:pic>
              </a:graphicData>
            </a:graphic>
          </wp:inline>
        </w:drawing>
      </w:r>
    </w:p>
    <w:p w:rsidR="005321A4" w:rsidRPr="006F1CBE" w:rsidRDefault="005321A4" w:rsidP="005321A4">
      <w:pPr>
        <w:pStyle w:val="ListParagraph"/>
        <w:spacing w:line="276" w:lineRule="auto"/>
        <w:ind w:firstLine="720"/>
        <w:jc w:val="right"/>
        <w:rPr>
          <w:color w:val="000000" w:themeColor="text1"/>
          <w:sz w:val="22"/>
          <w:szCs w:val="22"/>
        </w:rPr>
      </w:pPr>
      <w:r>
        <w:rPr>
          <w:color w:val="000000" w:themeColor="text1"/>
          <w:sz w:val="22"/>
          <w:szCs w:val="22"/>
        </w:rPr>
        <w:t>KDIGO 2012</w:t>
      </w:r>
    </w:p>
    <w:p w:rsidR="005321A4" w:rsidRPr="006F1CBE" w:rsidRDefault="005321A4" w:rsidP="005321A4">
      <w:pPr>
        <w:pStyle w:val="ListParagraph"/>
        <w:spacing w:line="276" w:lineRule="auto"/>
        <w:rPr>
          <w:color w:val="000000" w:themeColor="text1"/>
          <w:sz w:val="22"/>
          <w:szCs w:val="22"/>
        </w:rPr>
      </w:pPr>
      <w:r w:rsidRPr="006F1CBE">
        <w:rPr>
          <w:color w:val="000000" w:themeColor="text1"/>
          <w:sz w:val="22"/>
          <w:szCs w:val="22"/>
        </w:rPr>
        <w:t>Chronic kidney disease may also be classified according to the level of albuminuria according to the table below for children above the age of 2 (KDIGO 2012).</w:t>
      </w:r>
    </w:p>
    <w:p w:rsidR="005321A4" w:rsidRDefault="005321A4" w:rsidP="005321A4">
      <w:pPr>
        <w:spacing w:line="276" w:lineRule="auto"/>
        <w:jc w:val="center"/>
        <w:rPr>
          <w:color w:val="000000" w:themeColor="text1"/>
          <w:sz w:val="22"/>
          <w:szCs w:val="22"/>
        </w:rPr>
      </w:pPr>
      <w:r w:rsidRPr="006F1CBE">
        <w:rPr>
          <w:noProof/>
          <w:sz w:val="22"/>
          <w:szCs w:val="22"/>
        </w:rPr>
        <w:lastRenderedPageBreak/>
        <w:drawing>
          <wp:inline distT="0" distB="0" distL="0" distR="0" wp14:anchorId="1A1EBC97" wp14:editId="2835BB02">
            <wp:extent cx="4518025" cy="2452744"/>
            <wp:effectExtent l="0" t="0" r="3175" b="11430"/>
            <wp:docPr id="16" name="Picture 16" descr="Desktop/Screen%20Shot%202020-07-22%20at%201.12.29%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ktop/Screen%20Shot%202020-07-22%20at%201.12.29%20PM.png"/>
                    <pic:cNvPicPr>
                      <a:picLocks noChangeAspect="1" noChangeArrowheads="1"/>
                    </pic:cNvPicPr>
                  </pic:nvPicPr>
                  <pic:blipFill rotWithShape="1">
                    <a:blip r:embed="rId8">
                      <a:extLst>
                        <a:ext uri="{28A0092B-C50C-407E-A947-70E740481C1C}">
                          <a14:useLocalDpi xmlns:a14="http://schemas.microsoft.com/office/drawing/2010/main" val="0"/>
                        </a:ext>
                      </a:extLst>
                    </a:blip>
                    <a:srcRect b="6179"/>
                    <a:stretch/>
                  </pic:blipFill>
                  <pic:spPr bwMode="auto">
                    <a:xfrm>
                      <a:off x="0" y="0"/>
                      <a:ext cx="4518025" cy="2452744"/>
                    </a:xfrm>
                    <a:prstGeom prst="rect">
                      <a:avLst/>
                    </a:prstGeom>
                    <a:noFill/>
                    <a:ln>
                      <a:noFill/>
                    </a:ln>
                    <a:extLst>
                      <a:ext uri="{53640926-AAD7-44D8-BBD7-CCE9431645EC}">
                        <a14:shadowObscured xmlns:a14="http://schemas.microsoft.com/office/drawing/2010/main"/>
                      </a:ext>
                    </a:extLst>
                  </pic:spPr>
                </pic:pic>
              </a:graphicData>
            </a:graphic>
          </wp:inline>
        </w:drawing>
      </w:r>
    </w:p>
    <w:p w:rsidR="005321A4" w:rsidRPr="006F1CBE" w:rsidRDefault="005321A4" w:rsidP="005321A4">
      <w:pPr>
        <w:spacing w:line="276" w:lineRule="auto"/>
        <w:jc w:val="right"/>
        <w:rPr>
          <w:color w:val="000000" w:themeColor="text1"/>
          <w:sz w:val="22"/>
          <w:szCs w:val="22"/>
        </w:rPr>
      </w:pPr>
      <w:r>
        <w:rPr>
          <w:color w:val="000000" w:themeColor="text1"/>
          <w:sz w:val="22"/>
          <w:szCs w:val="22"/>
        </w:rPr>
        <w:t>KDIGO 2012</w:t>
      </w:r>
    </w:p>
    <w:p w:rsidR="005321A4" w:rsidRPr="006F1CBE" w:rsidRDefault="005321A4" w:rsidP="005321A4">
      <w:pPr>
        <w:pStyle w:val="ListParagraph"/>
        <w:numPr>
          <w:ilvl w:val="0"/>
          <w:numId w:val="2"/>
        </w:numPr>
        <w:spacing w:line="276" w:lineRule="auto"/>
        <w:rPr>
          <w:color w:val="000000" w:themeColor="text1"/>
          <w:sz w:val="22"/>
          <w:szCs w:val="22"/>
        </w:rPr>
      </w:pPr>
      <w:r w:rsidRPr="006F1CBE">
        <w:rPr>
          <w:color w:val="000000" w:themeColor="text1"/>
          <w:sz w:val="22"/>
          <w:szCs w:val="22"/>
        </w:rPr>
        <w:t>Assessment of chronic kidney disease should include a renal function panel, urinalysis for albuminuria, hematuria, pyuria, and electrolytes, renal ultrasonography, and serum electrolytes (KDIGO 2012).</w:t>
      </w:r>
    </w:p>
    <w:p w:rsidR="005321A4" w:rsidRPr="006F1CBE" w:rsidRDefault="005321A4" w:rsidP="005321A4">
      <w:pPr>
        <w:pStyle w:val="ListParagraph"/>
        <w:numPr>
          <w:ilvl w:val="0"/>
          <w:numId w:val="2"/>
        </w:numPr>
        <w:spacing w:line="276" w:lineRule="auto"/>
        <w:rPr>
          <w:color w:val="000000" w:themeColor="text1"/>
          <w:sz w:val="22"/>
          <w:szCs w:val="22"/>
        </w:rPr>
      </w:pPr>
      <w:r w:rsidRPr="006F1CBE">
        <w:rPr>
          <w:color w:val="000000" w:themeColor="text1"/>
          <w:sz w:val="22"/>
          <w:szCs w:val="22"/>
        </w:rPr>
        <w:t xml:space="preserve">The management of chronic kidney disease is aimed at preventing the progression to end stage renal disease and treating complications including anemia, hypertension, vitamin D deficiency, acidosis, hyperphosphatemia, hypoalbuminemia, and hyperparathyroidism.  Patients with end stage renal disease will ultimately require a renal transplant (KDIGO 2012). The following list is derived from the </w:t>
      </w:r>
      <w:hyperlink r:id="rId9" w:history="1">
        <w:r w:rsidRPr="006F1CBE">
          <w:rPr>
            <w:rStyle w:val="Hyperlink"/>
            <w:b/>
            <w:sz w:val="22"/>
            <w:szCs w:val="22"/>
          </w:rPr>
          <w:t>2012 KDIGO</w:t>
        </w:r>
      </w:hyperlink>
      <w:r w:rsidRPr="006F1CBE">
        <w:rPr>
          <w:color w:val="4472C4" w:themeColor="accent1"/>
          <w:sz w:val="22"/>
          <w:szCs w:val="22"/>
        </w:rPr>
        <w:t xml:space="preserve">, </w:t>
      </w:r>
      <w:r w:rsidRPr="006F1CBE">
        <w:rPr>
          <w:color w:val="000000" w:themeColor="text1"/>
          <w:sz w:val="22"/>
          <w:szCs w:val="22"/>
        </w:rPr>
        <w:t xml:space="preserve"> </w:t>
      </w:r>
      <w:hyperlink r:id="rId10" w:history="1">
        <w:r w:rsidRPr="006F1CBE">
          <w:rPr>
            <w:rStyle w:val="Hyperlink"/>
            <w:b/>
            <w:sz w:val="22"/>
            <w:szCs w:val="22"/>
          </w:rPr>
          <w:t>2008 KDOQI</w:t>
        </w:r>
      </w:hyperlink>
      <w:r w:rsidRPr="006F1CBE">
        <w:rPr>
          <w:b/>
          <w:color w:val="4472C4" w:themeColor="accent1"/>
          <w:sz w:val="22"/>
          <w:szCs w:val="22"/>
        </w:rPr>
        <w:t>,</w:t>
      </w:r>
      <w:r w:rsidRPr="006F1CBE">
        <w:rPr>
          <w:color w:val="4472C4" w:themeColor="accent1"/>
          <w:sz w:val="22"/>
          <w:szCs w:val="22"/>
        </w:rPr>
        <w:t xml:space="preserve"> </w:t>
      </w:r>
      <w:r w:rsidRPr="006F1CBE">
        <w:rPr>
          <w:color w:val="000000" w:themeColor="text1"/>
          <w:sz w:val="22"/>
          <w:szCs w:val="22"/>
        </w:rPr>
        <w:t xml:space="preserve">and </w:t>
      </w:r>
      <w:hyperlink r:id="rId11" w:history="1">
        <w:r w:rsidRPr="006F1CBE">
          <w:rPr>
            <w:rStyle w:val="Hyperlink"/>
            <w:b/>
            <w:sz w:val="22"/>
            <w:szCs w:val="22"/>
          </w:rPr>
          <w:t>Pediatrics in Review</w:t>
        </w:r>
      </w:hyperlink>
      <w:r w:rsidRPr="006F1CBE">
        <w:rPr>
          <w:b/>
          <w:color w:val="4472C4" w:themeColor="accent1"/>
          <w:sz w:val="22"/>
          <w:szCs w:val="22"/>
        </w:rPr>
        <w:t xml:space="preserve"> </w:t>
      </w:r>
      <w:r w:rsidRPr="006F1CBE">
        <w:rPr>
          <w:color w:val="000000" w:themeColor="text1"/>
          <w:sz w:val="22"/>
          <w:szCs w:val="22"/>
        </w:rPr>
        <w:t>guidelines.</w:t>
      </w:r>
    </w:p>
    <w:p w:rsidR="005321A4" w:rsidRPr="006F1CBE" w:rsidRDefault="005321A4" w:rsidP="005321A4">
      <w:pPr>
        <w:pStyle w:val="ListParagraph"/>
        <w:numPr>
          <w:ilvl w:val="1"/>
          <w:numId w:val="2"/>
        </w:numPr>
        <w:spacing w:line="276" w:lineRule="auto"/>
        <w:rPr>
          <w:color w:val="000000" w:themeColor="text1"/>
          <w:sz w:val="22"/>
          <w:szCs w:val="22"/>
        </w:rPr>
      </w:pPr>
      <w:r w:rsidRPr="006F1CBE">
        <w:rPr>
          <w:b/>
          <w:color w:val="000000" w:themeColor="text1"/>
          <w:sz w:val="22"/>
          <w:szCs w:val="22"/>
        </w:rPr>
        <w:t>Hypertension:</w:t>
      </w:r>
      <w:r w:rsidRPr="006F1CBE">
        <w:rPr>
          <w:color w:val="000000" w:themeColor="text1"/>
          <w:sz w:val="22"/>
          <w:szCs w:val="22"/>
        </w:rPr>
        <w:t xml:space="preserve"> Blood pressure medication should be initiated with an ACE-I or ARB with readings persistently greater than the 90</w:t>
      </w:r>
      <w:r w:rsidRPr="006F1CBE">
        <w:rPr>
          <w:color w:val="000000" w:themeColor="text1"/>
          <w:sz w:val="22"/>
          <w:szCs w:val="22"/>
          <w:vertAlign w:val="superscript"/>
        </w:rPr>
        <w:t>th</w:t>
      </w:r>
      <w:r w:rsidRPr="006F1CBE">
        <w:rPr>
          <w:color w:val="000000" w:themeColor="text1"/>
          <w:sz w:val="22"/>
          <w:szCs w:val="22"/>
        </w:rPr>
        <w:t xml:space="preserve"> percentile. The goal of treatment is a blood pressure reading under the 50</w:t>
      </w:r>
      <w:r w:rsidRPr="006F1CBE">
        <w:rPr>
          <w:color w:val="000000" w:themeColor="text1"/>
          <w:sz w:val="22"/>
          <w:szCs w:val="22"/>
          <w:vertAlign w:val="superscript"/>
        </w:rPr>
        <w:t>th</w:t>
      </w:r>
      <w:r w:rsidRPr="006F1CBE">
        <w:rPr>
          <w:color w:val="000000" w:themeColor="text1"/>
          <w:sz w:val="22"/>
          <w:szCs w:val="22"/>
        </w:rPr>
        <w:t xml:space="preserve"> percentile (KDIGO 2012).</w:t>
      </w:r>
    </w:p>
    <w:p w:rsidR="005321A4" w:rsidRPr="006F1CBE" w:rsidRDefault="005321A4" w:rsidP="005321A4">
      <w:pPr>
        <w:pStyle w:val="ListParagraph"/>
        <w:numPr>
          <w:ilvl w:val="1"/>
          <w:numId w:val="2"/>
        </w:numPr>
        <w:spacing w:line="276" w:lineRule="auto"/>
        <w:rPr>
          <w:color w:val="000000" w:themeColor="text1"/>
          <w:sz w:val="22"/>
          <w:szCs w:val="22"/>
        </w:rPr>
      </w:pPr>
      <w:r w:rsidRPr="006F1CBE">
        <w:rPr>
          <w:b/>
          <w:color w:val="000000" w:themeColor="text1"/>
          <w:sz w:val="22"/>
          <w:szCs w:val="22"/>
        </w:rPr>
        <w:t xml:space="preserve">Growth impairment: </w:t>
      </w:r>
      <w:r w:rsidRPr="006F1CBE">
        <w:rPr>
          <w:color w:val="000000" w:themeColor="text1"/>
          <w:sz w:val="22"/>
          <w:szCs w:val="22"/>
        </w:rPr>
        <w:t xml:space="preserve">All patients should have their growth closely monitored. Treatment of poor growth may consist of nutritional management or recombinant growth hormone (KDOQI 2009). </w:t>
      </w:r>
    </w:p>
    <w:p w:rsidR="005321A4" w:rsidRPr="006F1CBE" w:rsidRDefault="005321A4" w:rsidP="005321A4">
      <w:pPr>
        <w:pStyle w:val="ListParagraph"/>
        <w:numPr>
          <w:ilvl w:val="1"/>
          <w:numId w:val="2"/>
        </w:numPr>
        <w:spacing w:line="276" w:lineRule="auto"/>
        <w:rPr>
          <w:b/>
          <w:color w:val="000000" w:themeColor="text1"/>
          <w:sz w:val="22"/>
          <w:szCs w:val="22"/>
        </w:rPr>
      </w:pPr>
      <w:r w:rsidRPr="006F1CBE">
        <w:rPr>
          <w:b/>
          <w:color w:val="000000" w:themeColor="text1"/>
          <w:sz w:val="22"/>
          <w:szCs w:val="22"/>
        </w:rPr>
        <w:t xml:space="preserve">Nutrition/Diet: </w:t>
      </w:r>
      <w:r w:rsidRPr="006F1CBE">
        <w:rPr>
          <w:color w:val="000000" w:themeColor="text1"/>
          <w:sz w:val="22"/>
          <w:szCs w:val="22"/>
        </w:rPr>
        <w:t>The diet should be optimized with the help of a nutritionist. Metabolic status including electrolytes and vitamins require close monitoring in these patients (KDOQI 2009).</w:t>
      </w:r>
    </w:p>
    <w:p w:rsidR="005321A4" w:rsidRPr="006F1CBE" w:rsidRDefault="005321A4" w:rsidP="005321A4">
      <w:pPr>
        <w:pStyle w:val="ListParagraph"/>
        <w:numPr>
          <w:ilvl w:val="2"/>
          <w:numId w:val="2"/>
        </w:numPr>
        <w:spacing w:line="276" w:lineRule="auto"/>
        <w:rPr>
          <w:b/>
          <w:color w:val="000000" w:themeColor="text1"/>
          <w:sz w:val="22"/>
          <w:szCs w:val="22"/>
        </w:rPr>
      </w:pPr>
      <w:r w:rsidRPr="006F1CBE">
        <w:rPr>
          <w:color w:val="000000" w:themeColor="text1"/>
          <w:sz w:val="22"/>
          <w:szCs w:val="22"/>
        </w:rPr>
        <w:t xml:space="preserve">Salt should be restricted in children with hypertension but may be supplemented in children with tubulopathies (KDIGO 2012). </w:t>
      </w:r>
    </w:p>
    <w:p w:rsidR="005321A4" w:rsidRPr="006F1CBE" w:rsidRDefault="005321A4" w:rsidP="005321A4">
      <w:pPr>
        <w:pStyle w:val="ListParagraph"/>
        <w:numPr>
          <w:ilvl w:val="2"/>
          <w:numId w:val="2"/>
        </w:numPr>
        <w:spacing w:line="276" w:lineRule="auto"/>
        <w:rPr>
          <w:b/>
          <w:color w:val="000000" w:themeColor="text1"/>
          <w:sz w:val="22"/>
          <w:szCs w:val="22"/>
        </w:rPr>
      </w:pPr>
      <w:r w:rsidRPr="006F1CBE">
        <w:rPr>
          <w:color w:val="000000" w:themeColor="text1"/>
          <w:sz w:val="22"/>
          <w:szCs w:val="22"/>
        </w:rPr>
        <w:t xml:space="preserve">Fluids should be increased in patients with polyuria and restricted in patients with </w:t>
      </w:r>
      <w:proofErr w:type="spellStart"/>
      <w:r w:rsidRPr="006F1CBE">
        <w:rPr>
          <w:color w:val="000000" w:themeColor="text1"/>
          <w:sz w:val="22"/>
          <w:szCs w:val="22"/>
        </w:rPr>
        <w:t>oligoanuria</w:t>
      </w:r>
      <w:proofErr w:type="spellEnd"/>
      <w:r w:rsidRPr="006F1CBE">
        <w:rPr>
          <w:color w:val="000000" w:themeColor="text1"/>
          <w:sz w:val="22"/>
          <w:szCs w:val="22"/>
        </w:rPr>
        <w:t xml:space="preserve"> (KDOQI 2009). </w:t>
      </w:r>
    </w:p>
    <w:p w:rsidR="005321A4" w:rsidRPr="006F1CBE" w:rsidRDefault="005321A4" w:rsidP="005321A4">
      <w:pPr>
        <w:pStyle w:val="ListParagraph"/>
        <w:numPr>
          <w:ilvl w:val="2"/>
          <w:numId w:val="2"/>
        </w:numPr>
        <w:spacing w:line="276" w:lineRule="auto"/>
        <w:rPr>
          <w:b/>
          <w:color w:val="000000" w:themeColor="text1"/>
          <w:sz w:val="22"/>
          <w:szCs w:val="22"/>
        </w:rPr>
      </w:pPr>
      <w:r w:rsidRPr="006F1CBE">
        <w:rPr>
          <w:color w:val="000000" w:themeColor="text1"/>
          <w:sz w:val="22"/>
          <w:szCs w:val="22"/>
        </w:rPr>
        <w:t>Protein intake should be targeted to 100-140% of the optimal requirements for body weight (KDOQI 2009).</w:t>
      </w:r>
    </w:p>
    <w:p w:rsidR="005321A4" w:rsidRPr="006F1CBE" w:rsidRDefault="005321A4" w:rsidP="005321A4">
      <w:pPr>
        <w:pStyle w:val="ListParagraph"/>
        <w:numPr>
          <w:ilvl w:val="2"/>
          <w:numId w:val="2"/>
        </w:numPr>
        <w:spacing w:line="276" w:lineRule="auto"/>
        <w:rPr>
          <w:color w:val="000000" w:themeColor="text1"/>
          <w:sz w:val="22"/>
          <w:szCs w:val="22"/>
        </w:rPr>
      </w:pPr>
      <w:r w:rsidRPr="006F1CBE">
        <w:rPr>
          <w:color w:val="000000" w:themeColor="text1"/>
          <w:sz w:val="22"/>
          <w:szCs w:val="22"/>
        </w:rPr>
        <w:t xml:space="preserve">Patients should consume 100% of daily requirements of thiamin, riboflavin, niacin, pantothenic acid, </w:t>
      </w:r>
      <w:proofErr w:type="spellStart"/>
      <w:r w:rsidRPr="006F1CBE">
        <w:rPr>
          <w:color w:val="000000" w:themeColor="text1"/>
          <w:sz w:val="22"/>
          <w:szCs w:val="22"/>
        </w:rPr>
        <w:t>pyroxidine</w:t>
      </w:r>
      <w:proofErr w:type="spellEnd"/>
      <w:r w:rsidRPr="006F1CBE">
        <w:rPr>
          <w:color w:val="000000" w:themeColor="text1"/>
          <w:sz w:val="22"/>
          <w:szCs w:val="22"/>
        </w:rPr>
        <w:t xml:space="preserve">, biotin, cobalamin, ascorbic acid, retinol, a-tocopherol, vitamin K, folic acid, copper, and zinc. If dietary consumption is not adequate, these vitamins will need to be supplemented (KDOQI 2009).  </w:t>
      </w:r>
    </w:p>
    <w:p w:rsidR="005321A4" w:rsidRPr="006F1CBE" w:rsidRDefault="005321A4" w:rsidP="005321A4">
      <w:pPr>
        <w:pStyle w:val="ListParagraph"/>
        <w:numPr>
          <w:ilvl w:val="2"/>
          <w:numId w:val="2"/>
        </w:numPr>
        <w:spacing w:line="276" w:lineRule="auto"/>
        <w:rPr>
          <w:b/>
          <w:color w:val="000000" w:themeColor="text1"/>
          <w:sz w:val="22"/>
          <w:szCs w:val="22"/>
        </w:rPr>
      </w:pPr>
      <w:r w:rsidRPr="006F1CBE">
        <w:rPr>
          <w:color w:val="000000" w:themeColor="text1"/>
          <w:sz w:val="22"/>
          <w:szCs w:val="22"/>
        </w:rPr>
        <w:t>Calcium consumption should be targeted to 100-200% of daily requirements (KDOQI 2009).</w:t>
      </w:r>
    </w:p>
    <w:p w:rsidR="005321A4" w:rsidRPr="006F1CBE" w:rsidRDefault="005321A4" w:rsidP="005321A4">
      <w:pPr>
        <w:pStyle w:val="ListParagraph"/>
        <w:numPr>
          <w:ilvl w:val="2"/>
          <w:numId w:val="2"/>
        </w:numPr>
        <w:spacing w:line="276" w:lineRule="auto"/>
        <w:rPr>
          <w:b/>
          <w:color w:val="000000" w:themeColor="text1"/>
          <w:sz w:val="22"/>
          <w:szCs w:val="22"/>
        </w:rPr>
      </w:pPr>
      <w:r w:rsidRPr="006F1CBE">
        <w:rPr>
          <w:color w:val="000000" w:themeColor="text1"/>
          <w:sz w:val="22"/>
          <w:szCs w:val="22"/>
        </w:rPr>
        <w:lastRenderedPageBreak/>
        <w:t>Vitamin D levels should be measured annually. Levels &lt;30 ng/mL should be supplemented (KDOQI 2009).</w:t>
      </w:r>
    </w:p>
    <w:p w:rsidR="005321A4" w:rsidRPr="006F1CBE" w:rsidRDefault="005321A4" w:rsidP="005321A4">
      <w:pPr>
        <w:pStyle w:val="ListParagraph"/>
        <w:numPr>
          <w:ilvl w:val="2"/>
          <w:numId w:val="2"/>
        </w:numPr>
        <w:spacing w:line="276" w:lineRule="auto"/>
        <w:rPr>
          <w:b/>
          <w:color w:val="000000" w:themeColor="text1"/>
          <w:sz w:val="22"/>
          <w:szCs w:val="22"/>
        </w:rPr>
      </w:pPr>
      <w:r w:rsidRPr="006F1CBE">
        <w:rPr>
          <w:color w:val="000000" w:themeColor="text1"/>
          <w:sz w:val="22"/>
          <w:szCs w:val="22"/>
        </w:rPr>
        <w:t>Phosphorous intake should target 100% of daily requirements for patients with an elevated parathyroid and normal phosphorous. The target is reduced to 80% for patients with both an elevated parathyroid and phosphorous (KDOQI 2009).</w:t>
      </w:r>
    </w:p>
    <w:p w:rsidR="005321A4" w:rsidRPr="006F1CBE" w:rsidRDefault="005321A4" w:rsidP="005321A4">
      <w:pPr>
        <w:pStyle w:val="ListParagraph"/>
        <w:numPr>
          <w:ilvl w:val="2"/>
          <w:numId w:val="2"/>
        </w:numPr>
        <w:spacing w:line="276" w:lineRule="auto"/>
        <w:rPr>
          <w:b/>
          <w:color w:val="000000" w:themeColor="text1"/>
          <w:sz w:val="22"/>
          <w:szCs w:val="22"/>
        </w:rPr>
      </w:pPr>
      <w:r w:rsidRPr="006F1CBE">
        <w:rPr>
          <w:color w:val="000000" w:themeColor="text1"/>
          <w:sz w:val="22"/>
          <w:szCs w:val="22"/>
        </w:rPr>
        <w:t>Potassium should be limited in patients at risk for hyperkalemia (KDOQI 2009).</w:t>
      </w:r>
    </w:p>
    <w:p w:rsidR="005321A4" w:rsidRPr="006F1CBE" w:rsidRDefault="005321A4" w:rsidP="005321A4">
      <w:pPr>
        <w:pStyle w:val="ListParagraph"/>
        <w:numPr>
          <w:ilvl w:val="1"/>
          <w:numId w:val="2"/>
        </w:numPr>
        <w:spacing w:line="276" w:lineRule="auto"/>
        <w:rPr>
          <w:color w:val="000000" w:themeColor="text1"/>
          <w:sz w:val="22"/>
          <w:szCs w:val="22"/>
        </w:rPr>
      </w:pPr>
      <w:r w:rsidRPr="006F1CBE">
        <w:rPr>
          <w:b/>
          <w:color w:val="000000" w:themeColor="text1"/>
          <w:sz w:val="22"/>
          <w:szCs w:val="22"/>
        </w:rPr>
        <w:t>Diabetes:</w:t>
      </w:r>
      <w:r w:rsidRPr="006F1CBE">
        <w:rPr>
          <w:color w:val="000000" w:themeColor="text1"/>
          <w:sz w:val="22"/>
          <w:szCs w:val="22"/>
        </w:rPr>
        <w:t xml:space="preserve"> Management should be optimized according to the ADA guidelines (KDIGO 2012).</w:t>
      </w:r>
    </w:p>
    <w:p w:rsidR="005321A4" w:rsidRPr="006F1CBE" w:rsidRDefault="005321A4" w:rsidP="005321A4">
      <w:pPr>
        <w:pStyle w:val="ListParagraph"/>
        <w:numPr>
          <w:ilvl w:val="1"/>
          <w:numId w:val="2"/>
        </w:numPr>
        <w:spacing w:line="276" w:lineRule="auto"/>
        <w:rPr>
          <w:color w:val="000000" w:themeColor="text1"/>
          <w:sz w:val="22"/>
          <w:szCs w:val="22"/>
        </w:rPr>
      </w:pPr>
      <w:r w:rsidRPr="006F1CBE">
        <w:rPr>
          <w:b/>
          <w:color w:val="000000" w:themeColor="text1"/>
          <w:sz w:val="22"/>
          <w:szCs w:val="22"/>
        </w:rPr>
        <w:t>Life style:</w:t>
      </w:r>
      <w:r w:rsidRPr="006F1CBE">
        <w:rPr>
          <w:color w:val="000000" w:themeColor="text1"/>
          <w:sz w:val="22"/>
          <w:szCs w:val="22"/>
        </w:rPr>
        <w:t xml:space="preserve"> Patients should be encouraged to maintain a healthy weight and exercise for 30 minutes 5 days per weeks. Patients should be counseled on the risks of smoking (KDIGO 2012).   </w:t>
      </w:r>
    </w:p>
    <w:p w:rsidR="005321A4" w:rsidRPr="006F1CBE" w:rsidRDefault="005321A4" w:rsidP="005321A4">
      <w:pPr>
        <w:pStyle w:val="ListParagraph"/>
        <w:numPr>
          <w:ilvl w:val="1"/>
          <w:numId w:val="2"/>
        </w:numPr>
        <w:spacing w:line="276" w:lineRule="auto"/>
        <w:rPr>
          <w:color w:val="000000" w:themeColor="text1"/>
          <w:sz w:val="22"/>
          <w:szCs w:val="22"/>
        </w:rPr>
      </w:pPr>
      <w:r w:rsidRPr="006F1CBE">
        <w:rPr>
          <w:b/>
          <w:color w:val="000000" w:themeColor="text1"/>
          <w:sz w:val="22"/>
          <w:szCs w:val="22"/>
        </w:rPr>
        <w:t xml:space="preserve">Anemia: </w:t>
      </w:r>
      <w:r w:rsidRPr="006F1CBE">
        <w:rPr>
          <w:color w:val="000000" w:themeColor="text1"/>
          <w:sz w:val="22"/>
          <w:szCs w:val="22"/>
        </w:rPr>
        <w:t xml:space="preserve">Anemia in pediatric chronic kidney disease patients is defined as a hemoglobin of &lt;11 between the ages of 6 months and 5 years, &lt;11.5 between the ages of 5-12, and &lt;12 between ages 12-15. Patients should be screened as needed with a GFR &gt;60, annually with a GFR of 30-59, and biannually with a GFR of &lt;30. Treatment may include iron replacement or erythropoietin stimulating agents (KDIGO 2012). </w:t>
      </w:r>
    </w:p>
    <w:p w:rsidR="005321A4" w:rsidRPr="006F1CBE" w:rsidRDefault="005321A4" w:rsidP="005321A4">
      <w:pPr>
        <w:pStyle w:val="ListParagraph"/>
        <w:numPr>
          <w:ilvl w:val="1"/>
          <w:numId w:val="2"/>
        </w:numPr>
        <w:spacing w:line="276" w:lineRule="auto"/>
        <w:rPr>
          <w:color w:val="000000" w:themeColor="text1"/>
          <w:sz w:val="22"/>
          <w:szCs w:val="22"/>
        </w:rPr>
      </w:pPr>
      <w:r w:rsidRPr="006F1CBE">
        <w:rPr>
          <w:b/>
          <w:color w:val="000000" w:themeColor="text1"/>
          <w:sz w:val="22"/>
          <w:szCs w:val="22"/>
        </w:rPr>
        <w:t>Acidosis:</w:t>
      </w:r>
      <w:r w:rsidRPr="006F1CBE">
        <w:rPr>
          <w:color w:val="000000" w:themeColor="text1"/>
          <w:sz w:val="22"/>
          <w:szCs w:val="22"/>
        </w:rPr>
        <w:t xml:space="preserve"> Patients are at risk of developing a metabolic acidosis. Treatment consist of sodium bicarbonate with a target serum level of &gt;22 </w:t>
      </w:r>
      <w:proofErr w:type="spellStart"/>
      <w:r w:rsidRPr="006F1CBE">
        <w:rPr>
          <w:color w:val="000000" w:themeColor="text1"/>
          <w:sz w:val="22"/>
          <w:szCs w:val="22"/>
        </w:rPr>
        <w:t>mEq</w:t>
      </w:r>
      <w:proofErr w:type="spellEnd"/>
      <w:r w:rsidRPr="006F1CBE">
        <w:rPr>
          <w:color w:val="000000" w:themeColor="text1"/>
          <w:sz w:val="22"/>
          <w:szCs w:val="22"/>
        </w:rPr>
        <w:t xml:space="preserve">/L (KDOQI 2009). </w:t>
      </w:r>
    </w:p>
    <w:p w:rsidR="005321A4" w:rsidRPr="006F1CBE" w:rsidRDefault="005321A4" w:rsidP="005321A4">
      <w:pPr>
        <w:pStyle w:val="ListParagraph"/>
        <w:numPr>
          <w:ilvl w:val="1"/>
          <w:numId w:val="2"/>
        </w:numPr>
        <w:spacing w:line="276" w:lineRule="auto"/>
        <w:rPr>
          <w:b/>
          <w:color w:val="000000" w:themeColor="text1"/>
          <w:sz w:val="22"/>
          <w:szCs w:val="22"/>
        </w:rPr>
      </w:pPr>
      <w:r w:rsidRPr="006F1CBE">
        <w:rPr>
          <w:b/>
          <w:color w:val="000000" w:themeColor="text1"/>
          <w:sz w:val="22"/>
          <w:szCs w:val="22"/>
        </w:rPr>
        <w:t xml:space="preserve">Hyperkalemia: </w:t>
      </w:r>
      <w:r w:rsidRPr="006F1CBE">
        <w:rPr>
          <w:color w:val="000000" w:themeColor="text1"/>
          <w:sz w:val="22"/>
          <w:szCs w:val="22"/>
        </w:rPr>
        <w:t xml:space="preserve">Patients are at risk of developing hyperkalemia which should be promptly treated with a combination of sodium bicarbonate, calcium gluconate glucose, insulin, sodium polystyrene sulfonate and beta agonists (White and Fine 2020). </w:t>
      </w:r>
    </w:p>
    <w:p w:rsidR="005321A4" w:rsidRPr="006F1CBE" w:rsidRDefault="005321A4" w:rsidP="005321A4">
      <w:pPr>
        <w:pStyle w:val="ListParagraph"/>
        <w:numPr>
          <w:ilvl w:val="1"/>
          <w:numId w:val="2"/>
        </w:numPr>
        <w:spacing w:line="276" w:lineRule="auto"/>
        <w:rPr>
          <w:b/>
          <w:color w:val="000000" w:themeColor="text1"/>
          <w:sz w:val="22"/>
          <w:szCs w:val="22"/>
        </w:rPr>
      </w:pPr>
      <w:r w:rsidRPr="006F1CBE">
        <w:rPr>
          <w:b/>
          <w:color w:val="000000" w:themeColor="text1"/>
          <w:sz w:val="22"/>
          <w:szCs w:val="22"/>
        </w:rPr>
        <w:t xml:space="preserve">Secondary hyperparathyroidism/ Renal Osteodystrophy: </w:t>
      </w:r>
      <w:r w:rsidRPr="006F1CBE">
        <w:rPr>
          <w:color w:val="000000" w:themeColor="text1"/>
          <w:sz w:val="22"/>
          <w:szCs w:val="22"/>
        </w:rPr>
        <w:t xml:space="preserve">Patients with chronic kidney disease may develop hyperphosphatemia, hypocalcemia, and vitamin D deficiency, resulting in secondary hyperparathyroidism. Vitamin D supplementation is required at CKD stage 3 until normal levels of parathyroid hormone and phosphorous are achieved. High phosphorous is treated with a phosphate binder (White and Fine 2020). </w:t>
      </w:r>
    </w:p>
    <w:p w:rsidR="00AD0D0B" w:rsidRDefault="00AD0D0B">
      <w:bookmarkStart w:id="0" w:name="_GoBack"/>
      <w:bookmarkEnd w:id="0"/>
    </w:p>
    <w:sectPr w:rsidR="00AD0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0270F"/>
    <w:multiLevelType w:val="hybridMultilevel"/>
    <w:tmpl w:val="3160A608"/>
    <w:lvl w:ilvl="0" w:tplc="D2907E2E">
      <w:start w:val="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17C90"/>
    <w:multiLevelType w:val="hybridMultilevel"/>
    <w:tmpl w:val="DD7676A2"/>
    <w:lvl w:ilvl="0" w:tplc="D2907E2E">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A4"/>
    <w:rsid w:val="00033D06"/>
    <w:rsid w:val="000356E5"/>
    <w:rsid w:val="0005262B"/>
    <w:rsid w:val="000577B6"/>
    <w:rsid w:val="0006029A"/>
    <w:rsid w:val="00093921"/>
    <w:rsid w:val="00093A7E"/>
    <w:rsid w:val="000B3DD7"/>
    <w:rsid w:val="000C0A46"/>
    <w:rsid w:val="000E1304"/>
    <w:rsid w:val="000E1A79"/>
    <w:rsid w:val="00101AB2"/>
    <w:rsid w:val="00132E99"/>
    <w:rsid w:val="001356F4"/>
    <w:rsid w:val="001738C7"/>
    <w:rsid w:val="00173FAB"/>
    <w:rsid w:val="00175A40"/>
    <w:rsid w:val="001812BE"/>
    <w:rsid w:val="0019626F"/>
    <w:rsid w:val="001A0E4F"/>
    <w:rsid w:val="001B7859"/>
    <w:rsid w:val="001C782E"/>
    <w:rsid w:val="001F7237"/>
    <w:rsid w:val="00206B07"/>
    <w:rsid w:val="002129B0"/>
    <w:rsid w:val="00231CE4"/>
    <w:rsid w:val="00247080"/>
    <w:rsid w:val="00253B7F"/>
    <w:rsid w:val="002549A9"/>
    <w:rsid w:val="00264B25"/>
    <w:rsid w:val="00270DB3"/>
    <w:rsid w:val="00277C78"/>
    <w:rsid w:val="002A621B"/>
    <w:rsid w:val="002B7003"/>
    <w:rsid w:val="002C0674"/>
    <w:rsid w:val="002C7AAF"/>
    <w:rsid w:val="002F1A6F"/>
    <w:rsid w:val="002F2E12"/>
    <w:rsid w:val="0031139D"/>
    <w:rsid w:val="00313B49"/>
    <w:rsid w:val="003150AE"/>
    <w:rsid w:val="00317552"/>
    <w:rsid w:val="00350115"/>
    <w:rsid w:val="003978EE"/>
    <w:rsid w:val="003A01B4"/>
    <w:rsid w:val="003A032B"/>
    <w:rsid w:val="003A7B2F"/>
    <w:rsid w:val="003C7F78"/>
    <w:rsid w:val="003F0121"/>
    <w:rsid w:val="003F5379"/>
    <w:rsid w:val="00403AC6"/>
    <w:rsid w:val="0041022F"/>
    <w:rsid w:val="00420FC2"/>
    <w:rsid w:val="00452C81"/>
    <w:rsid w:val="00464FBF"/>
    <w:rsid w:val="004756EA"/>
    <w:rsid w:val="00485BB9"/>
    <w:rsid w:val="00494825"/>
    <w:rsid w:val="004A3A4E"/>
    <w:rsid w:val="004B7D3A"/>
    <w:rsid w:val="004E3BFF"/>
    <w:rsid w:val="004F53F6"/>
    <w:rsid w:val="00531474"/>
    <w:rsid w:val="005321A4"/>
    <w:rsid w:val="00535E1D"/>
    <w:rsid w:val="005759FA"/>
    <w:rsid w:val="005819C1"/>
    <w:rsid w:val="005C2241"/>
    <w:rsid w:val="005C7E8A"/>
    <w:rsid w:val="005D7920"/>
    <w:rsid w:val="005E0CE8"/>
    <w:rsid w:val="00632BAB"/>
    <w:rsid w:val="0063564A"/>
    <w:rsid w:val="00651353"/>
    <w:rsid w:val="00665BD1"/>
    <w:rsid w:val="00680A44"/>
    <w:rsid w:val="0068332D"/>
    <w:rsid w:val="0068673B"/>
    <w:rsid w:val="006A041A"/>
    <w:rsid w:val="006A4581"/>
    <w:rsid w:val="006B236E"/>
    <w:rsid w:val="006D6B03"/>
    <w:rsid w:val="007070D6"/>
    <w:rsid w:val="00727C19"/>
    <w:rsid w:val="00734F1E"/>
    <w:rsid w:val="00745133"/>
    <w:rsid w:val="00756AD4"/>
    <w:rsid w:val="0079384D"/>
    <w:rsid w:val="00814BAF"/>
    <w:rsid w:val="0082691C"/>
    <w:rsid w:val="0083757A"/>
    <w:rsid w:val="008859BB"/>
    <w:rsid w:val="008A79BD"/>
    <w:rsid w:val="008B7A09"/>
    <w:rsid w:val="008D6A28"/>
    <w:rsid w:val="008D767E"/>
    <w:rsid w:val="0093599C"/>
    <w:rsid w:val="00974145"/>
    <w:rsid w:val="00982C7F"/>
    <w:rsid w:val="00986F11"/>
    <w:rsid w:val="00991CEE"/>
    <w:rsid w:val="00995831"/>
    <w:rsid w:val="009F559A"/>
    <w:rsid w:val="00A054C1"/>
    <w:rsid w:val="00A070BB"/>
    <w:rsid w:val="00A20EF7"/>
    <w:rsid w:val="00A212D6"/>
    <w:rsid w:val="00A278F5"/>
    <w:rsid w:val="00A35D39"/>
    <w:rsid w:val="00A443BE"/>
    <w:rsid w:val="00A655AA"/>
    <w:rsid w:val="00A8547A"/>
    <w:rsid w:val="00A858E9"/>
    <w:rsid w:val="00A874EA"/>
    <w:rsid w:val="00A90B59"/>
    <w:rsid w:val="00A90E30"/>
    <w:rsid w:val="00A94FA0"/>
    <w:rsid w:val="00AB4417"/>
    <w:rsid w:val="00AD0D0B"/>
    <w:rsid w:val="00AD7370"/>
    <w:rsid w:val="00AE0C26"/>
    <w:rsid w:val="00AE5E5C"/>
    <w:rsid w:val="00B13BE1"/>
    <w:rsid w:val="00B35775"/>
    <w:rsid w:val="00B778C8"/>
    <w:rsid w:val="00B7792A"/>
    <w:rsid w:val="00B85936"/>
    <w:rsid w:val="00BC684F"/>
    <w:rsid w:val="00C03AA4"/>
    <w:rsid w:val="00C244CA"/>
    <w:rsid w:val="00C371B4"/>
    <w:rsid w:val="00C41E24"/>
    <w:rsid w:val="00C466EC"/>
    <w:rsid w:val="00C56A75"/>
    <w:rsid w:val="00C74E56"/>
    <w:rsid w:val="00C75436"/>
    <w:rsid w:val="00CA095C"/>
    <w:rsid w:val="00CB0700"/>
    <w:rsid w:val="00CC5EB1"/>
    <w:rsid w:val="00CC7653"/>
    <w:rsid w:val="00CD1395"/>
    <w:rsid w:val="00CE4834"/>
    <w:rsid w:val="00CF7A23"/>
    <w:rsid w:val="00D164C2"/>
    <w:rsid w:val="00D339AE"/>
    <w:rsid w:val="00D4297B"/>
    <w:rsid w:val="00D52B59"/>
    <w:rsid w:val="00D53A8C"/>
    <w:rsid w:val="00D63581"/>
    <w:rsid w:val="00D9572C"/>
    <w:rsid w:val="00DA11A3"/>
    <w:rsid w:val="00DB6DA3"/>
    <w:rsid w:val="00DC680F"/>
    <w:rsid w:val="00DD0C80"/>
    <w:rsid w:val="00DE1DB6"/>
    <w:rsid w:val="00DE2B7C"/>
    <w:rsid w:val="00DF1FB1"/>
    <w:rsid w:val="00DF264D"/>
    <w:rsid w:val="00E1374A"/>
    <w:rsid w:val="00E137D6"/>
    <w:rsid w:val="00E25D82"/>
    <w:rsid w:val="00E47E0E"/>
    <w:rsid w:val="00E953F9"/>
    <w:rsid w:val="00EB47B5"/>
    <w:rsid w:val="00EC488F"/>
    <w:rsid w:val="00EC749D"/>
    <w:rsid w:val="00F030E1"/>
    <w:rsid w:val="00F04A2B"/>
    <w:rsid w:val="00F15CB8"/>
    <w:rsid w:val="00F92752"/>
    <w:rsid w:val="00FC7E10"/>
    <w:rsid w:val="00FE4D7A"/>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E108F-4A6B-4425-AF11-97A8688D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1A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1A4"/>
    <w:pPr>
      <w:ind w:left="720"/>
      <w:contextualSpacing/>
    </w:pPr>
  </w:style>
  <w:style w:type="character" w:styleId="Hyperlink">
    <w:name w:val="Hyperlink"/>
    <w:basedOn w:val="DefaultParagraphFont"/>
    <w:uiPriority w:val="99"/>
    <w:unhideWhenUsed/>
    <w:rsid w:val="005321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edsinreview-aappublications-org.umassmed.idm.oclc.org/content/pedsinreview/29/10/335.full.pdf" TargetMode="External"/><Relationship Id="rId5" Type="http://schemas.openxmlformats.org/officeDocument/2006/relationships/hyperlink" Target="https://kdigo.org/wp-content/uploads/2017/02/KDIGO_2012_CKD_GL.pdf" TargetMode="External"/><Relationship Id="rId10" Type="http://schemas.openxmlformats.org/officeDocument/2006/relationships/hyperlink" Target="https://www.kidney.org/sites/default/files/docs/cpgpednutr2008.pdf" TargetMode="External"/><Relationship Id="rId4" Type="http://schemas.openxmlformats.org/officeDocument/2006/relationships/webSettings" Target="webSettings.xml"/><Relationship Id="rId9" Type="http://schemas.openxmlformats.org/officeDocument/2006/relationships/hyperlink" Target="https://kdigo.org/wp-content/uploads/2017/02/KDIGO_2012_CKD_G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Kathryn</dc:creator>
  <cp:keywords/>
  <dc:description/>
  <cp:lastModifiedBy>Wynne, Kathryn</cp:lastModifiedBy>
  <cp:revision>1</cp:revision>
  <dcterms:created xsi:type="dcterms:W3CDTF">2020-11-17T02:45:00Z</dcterms:created>
  <dcterms:modified xsi:type="dcterms:W3CDTF">2020-11-17T02:45:00Z</dcterms:modified>
</cp:coreProperties>
</file>