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9EA" w:rsidRPr="00A379EA" w:rsidRDefault="00D81E6D" w:rsidP="00A379EA">
      <w:pPr>
        <w:jc w:val="center"/>
        <w:rPr>
          <w:b/>
        </w:rPr>
      </w:pPr>
      <w:r>
        <w:rPr>
          <w:b/>
        </w:rPr>
        <w:t>Breastfeeding/Nutrition</w:t>
      </w:r>
      <w:r w:rsidR="00A379EA" w:rsidRPr="00A379EA">
        <w:rPr>
          <w:b/>
        </w:rPr>
        <w:t xml:space="preserve"> Self-Assessment Questions</w:t>
      </w:r>
    </w:p>
    <w:p w:rsidR="00A379EA" w:rsidRPr="00A379EA" w:rsidRDefault="00A379EA" w:rsidP="00A379EA">
      <w:pPr>
        <w:jc w:val="center"/>
        <w:rPr>
          <w:b/>
        </w:rPr>
      </w:pPr>
      <w:r w:rsidRPr="00A379EA">
        <w:rPr>
          <w:b/>
        </w:rPr>
        <w:t>PREP 2018</w:t>
      </w:r>
    </w:p>
    <w:p w:rsidR="00A379EA" w:rsidRDefault="00A379EA"/>
    <w:p w:rsidR="00A379EA" w:rsidRPr="0091425F" w:rsidRDefault="00A379EA">
      <w:pPr>
        <w:rPr>
          <w:b/>
          <w:u w:val="single"/>
        </w:rPr>
      </w:pPr>
      <w:r w:rsidRPr="0091425F">
        <w:rPr>
          <w:b/>
          <w:u w:val="single"/>
        </w:rPr>
        <w:t>Question 1</w:t>
      </w:r>
    </w:p>
    <w:p w:rsidR="00D81E6D" w:rsidRPr="00D81E6D" w:rsidRDefault="00D81E6D" w:rsidP="00D81E6D">
      <w:r w:rsidRPr="00D81E6D">
        <w:t xml:space="preserve">You receive a call from the family of one of your patients. The family has a 3-week-old healthy infant who was delivered at term and has been exclusively breastfed since birth. The mother of your patient has been experiencing pain and lower extremity weakness since the delivery. Her physician has ordered magnetic resonance imaging with gadolinium-based contrast to evaluate for lumbosacral plexus nerve injury. When she scheduled the imaging procedure, she was advised by the radiology nurse to avoid breastfeeding for 48 hours after the contrast </w:t>
      </w:r>
      <w:bookmarkStart w:id="0" w:name="_GoBack"/>
      <w:bookmarkEnd w:id="0"/>
      <w:r w:rsidRPr="00D81E6D">
        <w:t>administration. The patient’s family is interested in your advice.</w:t>
      </w:r>
      <w:r>
        <w:t xml:space="preserve"> </w:t>
      </w:r>
      <w:r w:rsidRPr="00D81E6D">
        <w:t>Of the following, the MOST appropriate recommendation is that this mother</w:t>
      </w:r>
      <w:r>
        <w:t>:</w:t>
      </w:r>
    </w:p>
    <w:p w:rsidR="00D81E6D" w:rsidRDefault="00D81E6D" w:rsidP="00A379EA">
      <w:pPr>
        <w:rPr>
          <w:b/>
          <w:u w:val="single"/>
        </w:rPr>
      </w:pPr>
    </w:p>
    <w:p w:rsidR="00D81E6D" w:rsidRPr="00D81E6D" w:rsidRDefault="00D81E6D" w:rsidP="00D81E6D">
      <w:r w:rsidRPr="00D81E6D">
        <w:t>A.</w:t>
      </w:r>
      <w:r w:rsidRPr="00D81E6D">
        <w:tab/>
        <w:t>avoid breastfeeding for 24 hour</w:t>
      </w:r>
      <w:r>
        <w:t>s after contrast administration</w:t>
      </w:r>
    </w:p>
    <w:p w:rsidR="00D81E6D" w:rsidRPr="00D81E6D" w:rsidRDefault="00D81E6D" w:rsidP="00D81E6D">
      <w:r w:rsidRPr="00D81E6D">
        <w:t>B.</w:t>
      </w:r>
      <w:r w:rsidRPr="00D81E6D">
        <w:tab/>
        <w:t>avoid breastfeeding for 48 hours after con</w:t>
      </w:r>
      <w:r>
        <w:t>trast administration</w:t>
      </w:r>
    </w:p>
    <w:p w:rsidR="00D81E6D" w:rsidRPr="00D81E6D" w:rsidRDefault="00D81E6D" w:rsidP="00D81E6D">
      <w:r w:rsidRPr="00D81E6D">
        <w:t>C.</w:t>
      </w:r>
      <w:r w:rsidRPr="00D81E6D">
        <w:tab/>
        <w:t>cease breastfeeding entirel</w:t>
      </w:r>
      <w:r>
        <w:t>y after contrast administration</w:t>
      </w:r>
    </w:p>
    <w:p w:rsidR="00D81E6D" w:rsidRPr="00D81E6D" w:rsidRDefault="00D81E6D" w:rsidP="00D81E6D">
      <w:r w:rsidRPr="00D81E6D">
        <w:t>D.</w:t>
      </w:r>
      <w:r w:rsidRPr="00D81E6D">
        <w:tab/>
        <w:t>continue to breastfeed or express her b</w:t>
      </w:r>
      <w:r>
        <w:t>reast milk without interruption</w:t>
      </w:r>
    </w:p>
    <w:p w:rsidR="00D81E6D" w:rsidRPr="00D81E6D" w:rsidRDefault="00D81E6D" w:rsidP="00D81E6D">
      <w:r w:rsidRPr="00D81E6D">
        <w:t>E.</w:t>
      </w:r>
      <w:r w:rsidRPr="00D81E6D">
        <w:tab/>
        <w:t>request that the imaging study be performed without contrast</w:t>
      </w:r>
    </w:p>
    <w:p w:rsidR="00D81E6D" w:rsidRDefault="00D81E6D" w:rsidP="00D81E6D">
      <w:pPr>
        <w:rPr>
          <w:b/>
          <w:u w:val="single"/>
        </w:rPr>
      </w:pPr>
    </w:p>
    <w:p w:rsidR="00A379EA" w:rsidRPr="0091425F" w:rsidRDefault="0091425F" w:rsidP="00D81E6D">
      <w:pPr>
        <w:rPr>
          <w:b/>
          <w:u w:val="single"/>
        </w:rPr>
      </w:pPr>
      <w:r w:rsidRPr="0091425F">
        <w:rPr>
          <w:b/>
          <w:u w:val="single"/>
        </w:rPr>
        <w:t>Question 2</w:t>
      </w:r>
    </w:p>
    <w:p w:rsidR="00777CA9" w:rsidRDefault="00777CA9" w:rsidP="00777CA9">
      <w:r w:rsidRPr="00777CA9">
        <w:t>You are seeing a 1-month-old male infant in your office for parental concerns about diarrhea. He was born at term after an uncomplicated pregnancy, passed his first meconium stool at 18 hours of age, and was discharged from the nursery at 36 hours of age. He is breastfed and has been growing adequately. The parents report diarrhea for 1 week, which they describe as 6 loose stools per day with some mucus and occasional small red specks that they think is blood. The infant has had no fever or vomiting, and is feeding and acting normally. No one else at home is sick and there has been no travel. His physical examination shows a vigorous infant with growth parameters at the 50th percentile. He has no skin rashes or anal fissures, and the remainder of his physical examination findings are normal. Although the stool is not grossly bloody, a stool test for blood is positive.</w:t>
      </w:r>
      <w:r>
        <w:t xml:space="preserve"> </w:t>
      </w:r>
      <w:r w:rsidRPr="00777CA9">
        <w:t>Of the following, the MOST appropriate next step in the care of this patient is to</w:t>
      </w:r>
      <w:r>
        <w:t>:</w:t>
      </w:r>
    </w:p>
    <w:p w:rsidR="00165CCB" w:rsidRDefault="00165CCB" w:rsidP="00777CA9"/>
    <w:p w:rsidR="00777CA9" w:rsidRDefault="00777CA9" w:rsidP="00777CA9">
      <w:r>
        <w:t>A.</w:t>
      </w:r>
      <w:r>
        <w:tab/>
        <w:t>change his diet to an amino acid-based formula</w:t>
      </w:r>
    </w:p>
    <w:p w:rsidR="00777CA9" w:rsidRDefault="00777CA9" w:rsidP="00777CA9">
      <w:r>
        <w:t>B.</w:t>
      </w:r>
      <w:r>
        <w:tab/>
        <w:t>change his diet to a lactose-free formula</w:t>
      </w:r>
    </w:p>
    <w:p w:rsidR="00777CA9" w:rsidRDefault="00777CA9" w:rsidP="00777CA9">
      <w:r>
        <w:t>C.</w:t>
      </w:r>
      <w:r>
        <w:tab/>
        <w:t>eliminate cow milk from the mother’s diet</w:t>
      </w:r>
    </w:p>
    <w:p w:rsidR="00777CA9" w:rsidRDefault="00777CA9" w:rsidP="00777CA9">
      <w:r>
        <w:t>D.</w:t>
      </w:r>
      <w:r>
        <w:tab/>
        <w:t>obtain serum-specific immunoglobulin E for milk protein</w:t>
      </w:r>
    </w:p>
    <w:p w:rsidR="00777CA9" w:rsidRDefault="00777CA9" w:rsidP="00777CA9">
      <w:r>
        <w:t>E.</w:t>
      </w:r>
      <w:r>
        <w:tab/>
        <w:t>refer to gastroenterology for a colonoscopy</w:t>
      </w:r>
    </w:p>
    <w:p w:rsidR="003E0EEC" w:rsidRDefault="003E0EEC" w:rsidP="00777CA9"/>
    <w:p w:rsidR="003E0EEC" w:rsidRPr="0091425F" w:rsidRDefault="003E0EEC" w:rsidP="003E0EEC">
      <w:pPr>
        <w:rPr>
          <w:b/>
          <w:u w:val="single"/>
        </w:rPr>
      </w:pPr>
      <w:r>
        <w:rPr>
          <w:b/>
          <w:u w:val="single"/>
        </w:rPr>
        <w:t>Question 3</w:t>
      </w:r>
    </w:p>
    <w:p w:rsidR="003E0EEC" w:rsidRPr="003E0EEC" w:rsidRDefault="003E0EEC" w:rsidP="003E0EEC">
      <w:r w:rsidRPr="003E0EEC">
        <w:t>You are seeing a 4-month-old breastfed male infant for a health supervision visit with a resident. The infant’s mother reports frequent effortless regurgitation of food that follows most liquid meals. She reports no pain or fussiness with the episodes and no correlation with changes in maternal diet. </w:t>
      </w:r>
    </w:p>
    <w:p w:rsidR="003E0EEC" w:rsidRDefault="003E0EEC" w:rsidP="003E0EEC">
      <w:r w:rsidRPr="003E0EEC">
        <w:t>The infant has a heart rate of 118 beats/min, respiratory rate of 26 breaths/min, and temperature of 37°C. He is alert and well nourished. His examination findings are unremarkable. The resident asks what education she should provide this mother about when regurgitation is likely to resolve.</w:t>
      </w:r>
      <w:r>
        <w:t xml:space="preserve"> </w:t>
      </w:r>
      <w:r w:rsidRPr="003E0EEC">
        <w:t>Of the following, it is MOST likely that these events will stop by</w:t>
      </w:r>
      <w:r>
        <w:t>:</w:t>
      </w:r>
    </w:p>
    <w:p w:rsidR="00165CCB" w:rsidRPr="003E0EEC" w:rsidRDefault="00165CCB" w:rsidP="003E0EEC"/>
    <w:p w:rsidR="003E0EEC" w:rsidRDefault="003E0EEC" w:rsidP="003E0EEC">
      <w:r>
        <w:t>A.</w:t>
      </w:r>
      <w:r>
        <w:tab/>
        <w:t>6 months</w:t>
      </w:r>
    </w:p>
    <w:p w:rsidR="003E0EEC" w:rsidRDefault="003E0EEC" w:rsidP="003E0EEC">
      <w:r>
        <w:t>B.</w:t>
      </w:r>
      <w:r>
        <w:tab/>
        <w:t>8 months</w:t>
      </w:r>
    </w:p>
    <w:p w:rsidR="003E0EEC" w:rsidRDefault="003E0EEC" w:rsidP="003E0EEC">
      <w:r>
        <w:t>C.</w:t>
      </w:r>
      <w:r>
        <w:tab/>
        <w:t>9 months</w:t>
      </w:r>
    </w:p>
    <w:p w:rsidR="003E0EEC" w:rsidRDefault="003E0EEC" w:rsidP="003E0EEC">
      <w:r>
        <w:lastRenderedPageBreak/>
        <w:t>D.</w:t>
      </w:r>
      <w:r>
        <w:tab/>
        <w:t>10 months</w:t>
      </w:r>
    </w:p>
    <w:p w:rsidR="003E0EEC" w:rsidRPr="00777CA9" w:rsidRDefault="003E0EEC" w:rsidP="00777CA9">
      <w:r>
        <w:t>E.</w:t>
      </w:r>
      <w:r>
        <w:tab/>
        <w:t>12 months</w:t>
      </w:r>
    </w:p>
    <w:p w:rsidR="00777CA9" w:rsidRPr="00852F58" w:rsidRDefault="00777CA9" w:rsidP="00A379EA">
      <w:pPr>
        <w:jc w:val="center"/>
        <w:rPr>
          <w:b/>
          <w:u w:val="single"/>
        </w:rPr>
      </w:pPr>
    </w:p>
    <w:p w:rsidR="00852F58" w:rsidRPr="00852F58" w:rsidRDefault="00852F58">
      <w:pPr>
        <w:rPr>
          <w:b/>
          <w:u w:val="single"/>
        </w:rPr>
      </w:pPr>
      <w:r w:rsidRPr="00852F58">
        <w:rPr>
          <w:b/>
          <w:u w:val="single"/>
        </w:rPr>
        <w:t>Question 4</w:t>
      </w:r>
    </w:p>
    <w:p w:rsidR="00852F58" w:rsidRPr="00852F58" w:rsidRDefault="00852F58" w:rsidP="00852F58">
      <w:r w:rsidRPr="00852F58">
        <w:t>You are seeing a 13-month-old boy who is new to your practice for a health supervision visit. The boy recently moved with his family to the rural area where you practice, where his parents have started a strawberry farm. They are currently living in and renovating a farmhouse that was built in 1915. Both their farm and home are supplied with well water. The entire family eats a variety of fresh fruits and vegetables that are grown on their farm.</w:t>
      </w:r>
    </w:p>
    <w:p w:rsidR="00852F58" w:rsidRPr="00852F58" w:rsidRDefault="00852F58" w:rsidP="00852F58">
      <w:r w:rsidRPr="00852F58">
        <w:t>The child’s parents report that he has been very healthy, with no significant medical history. He takes no medications and has no allergies. His immunizations are up to date. His growth and development have been progressing normally. He is breastfed and eats some solid foods, though his mother states that he is a “picky” eater. He does not attend daycare, and loves playing with his 7-year-old twin sisters and 13-year-old brother (who are all healthy and developing normally according to the parents).</w:t>
      </w:r>
    </w:p>
    <w:p w:rsidR="00852F58" w:rsidRPr="00852F58" w:rsidRDefault="00852F58" w:rsidP="00852F58">
      <w:r w:rsidRPr="00852F58">
        <w:t>In your office, the boy is well-appearing and active. His growth parameters are normal for his age, and findings of a complete physical examination are unremarkable.</w:t>
      </w:r>
    </w:p>
    <w:p w:rsidR="00852F58" w:rsidRPr="00852F58" w:rsidRDefault="00852F58" w:rsidP="00852F58">
      <w:r w:rsidRPr="00852F58">
        <w:t>His parents ask you to discuss the potential health consequences of exposure to environmental toxins in this boy and his older siblings and how they can reduce the risk of exposure to environmental toxins for their children. Of the following, the MOST accurate information that you can provide to address the parents’ concerns is that </w:t>
      </w:r>
    </w:p>
    <w:p w:rsidR="00852F58" w:rsidRDefault="00852F58" w:rsidP="00852F58">
      <w:r w:rsidRPr="00852F58">
        <w:t xml:space="preserve"> </w:t>
      </w:r>
    </w:p>
    <w:p w:rsidR="00852F58" w:rsidRDefault="00852F58" w:rsidP="00E4326A">
      <w:pPr>
        <w:ind w:left="720" w:hanging="720"/>
      </w:pPr>
      <w:r>
        <w:t>A.</w:t>
      </w:r>
      <w:r>
        <w:tab/>
        <w:t>all well water that this 13 month old and his siblings consume should be boiled to reduce their risk of exposure to both lead and nitrites</w:t>
      </w:r>
    </w:p>
    <w:p w:rsidR="00852F58" w:rsidRDefault="00852F58" w:rsidP="00852F58">
      <w:r>
        <w:t>B.</w:t>
      </w:r>
      <w:r>
        <w:tab/>
        <w:t>the boy’s mother should discontinue breastfeeding to reduce his risk of exposure to pesticides</w:t>
      </w:r>
    </w:p>
    <w:p w:rsidR="00852F58" w:rsidRDefault="00852F58" w:rsidP="00E4326A">
      <w:pPr>
        <w:ind w:left="720" w:hanging="720"/>
      </w:pPr>
      <w:r>
        <w:t>C.</w:t>
      </w:r>
      <w:r>
        <w:tab/>
        <w:t xml:space="preserve">the boy’s risk of developing asthma after exposure to air contaminants on the farm is the same as the risk of asthma development in his older siblings </w:t>
      </w:r>
    </w:p>
    <w:p w:rsidR="00852F58" w:rsidRDefault="00852F58" w:rsidP="00E4326A">
      <w:pPr>
        <w:ind w:left="720" w:hanging="720"/>
      </w:pPr>
      <w:r>
        <w:t>D.</w:t>
      </w:r>
      <w:r>
        <w:tab/>
        <w:t xml:space="preserve">the boy’s risk of exposure to foodborne pesticide residues is lower than the risk of exposure faced by his older siblings because he consumes less food </w:t>
      </w:r>
    </w:p>
    <w:p w:rsidR="00165CCB" w:rsidRPr="00852F58" w:rsidRDefault="00852F58" w:rsidP="00E4326A">
      <w:pPr>
        <w:ind w:left="720" w:hanging="720"/>
      </w:pPr>
      <w:r>
        <w:t>E.</w:t>
      </w:r>
      <w:r>
        <w:tab/>
        <w:t xml:space="preserve">the boy’s risk of ingesting lead dust in his home environment is higher than the risk faced by his older siblings </w:t>
      </w:r>
      <w:r w:rsidR="00165CCB" w:rsidRPr="00852F58">
        <w:br w:type="page"/>
      </w:r>
    </w:p>
    <w:p w:rsidR="00A379EA" w:rsidRPr="00A379EA" w:rsidRDefault="00A379EA" w:rsidP="00A379EA">
      <w:pPr>
        <w:jc w:val="center"/>
        <w:rPr>
          <w:b/>
        </w:rPr>
      </w:pPr>
      <w:r w:rsidRPr="00A379EA">
        <w:rPr>
          <w:b/>
        </w:rPr>
        <w:lastRenderedPageBreak/>
        <w:t>Answers</w:t>
      </w:r>
    </w:p>
    <w:p w:rsidR="00A379EA" w:rsidRDefault="00D81E6D" w:rsidP="00A379EA">
      <w:pPr>
        <w:pStyle w:val="ListParagraph"/>
        <w:numPr>
          <w:ilvl w:val="0"/>
          <w:numId w:val="1"/>
        </w:numPr>
      </w:pPr>
      <w:r>
        <w:t>D</w:t>
      </w:r>
    </w:p>
    <w:p w:rsidR="0091425F" w:rsidRDefault="0091425F" w:rsidP="00A379EA">
      <w:pPr>
        <w:pStyle w:val="ListParagraph"/>
        <w:numPr>
          <w:ilvl w:val="0"/>
          <w:numId w:val="1"/>
        </w:numPr>
      </w:pPr>
      <w:r>
        <w:t>C</w:t>
      </w:r>
    </w:p>
    <w:p w:rsidR="003E0EEC" w:rsidRDefault="003E0EEC" w:rsidP="00A379EA">
      <w:pPr>
        <w:pStyle w:val="ListParagraph"/>
        <w:numPr>
          <w:ilvl w:val="0"/>
          <w:numId w:val="1"/>
        </w:numPr>
      </w:pPr>
      <w:r>
        <w:t>E</w:t>
      </w:r>
    </w:p>
    <w:p w:rsidR="00852F58" w:rsidRDefault="00852F58" w:rsidP="00A379EA">
      <w:pPr>
        <w:pStyle w:val="ListParagraph"/>
        <w:numPr>
          <w:ilvl w:val="0"/>
          <w:numId w:val="1"/>
        </w:numPr>
      </w:pPr>
      <w:r>
        <w:t>E</w:t>
      </w:r>
    </w:p>
    <w:p w:rsidR="00A379EA" w:rsidRDefault="00A379EA" w:rsidP="00A379EA"/>
    <w:p w:rsidR="00A379EA" w:rsidRPr="00A379EA" w:rsidRDefault="00A379EA" w:rsidP="00A379EA">
      <w:pPr>
        <w:jc w:val="center"/>
        <w:rPr>
          <w:b/>
        </w:rPr>
      </w:pPr>
      <w:r w:rsidRPr="00A379EA">
        <w:rPr>
          <w:b/>
        </w:rPr>
        <w:t>Detailed Explanations</w:t>
      </w:r>
    </w:p>
    <w:p w:rsidR="00A379EA" w:rsidRPr="00777CA9" w:rsidRDefault="00A379EA" w:rsidP="00A379EA">
      <w:pPr>
        <w:rPr>
          <w:b/>
          <w:u w:val="single"/>
        </w:rPr>
      </w:pPr>
      <w:r w:rsidRPr="00A379EA">
        <w:rPr>
          <w:b/>
          <w:u w:val="single"/>
        </w:rPr>
        <w:t>Question 1</w:t>
      </w:r>
    </w:p>
    <w:p w:rsidR="00D81E6D" w:rsidRPr="00D81E6D" w:rsidRDefault="00D81E6D" w:rsidP="00D81E6D">
      <w:r w:rsidRPr="00D81E6D">
        <w:t>Both the American Academy of Pediatrics and the American College of Radiology have published reports supporting the safety of gadolinium-based contrast agents in breastfeeding mothers. They recommend that mothers continue breastfeeding without interruption after contrast administration. The mother in this vignette can continue to breastfeed or express her milk after receiving contrast; she does not need to avoid breastfeeding for any length of time and should not cease breastfeeding because of contrast administration.</w:t>
      </w:r>
    </w:p>
    <w:p w:rsidR="00D81E6D" w:rsidRPr="00D81E6D" w:rsidRDefault="00D81E6D" w:rsidP="00D81E6D">
      <w:r w:rsidRPr="00D81E6D">
        <w:t>Gadolinium-based contrast agents have a relatively large molecular weight and are water soluble; very low levels (less than 0.04% of the intravenous [IV] dose given to the mother) are detected in breast milk after IV administration to lactating women. Furthermore, gadolinium contrast agents are not absorbed by the infant (or adult) gut in an appreciable manner. Therefore, the expected systemic dose in the breastfed infant is estimated to be less than 0.0004% of the IV dose given to the mother and is less than 1% of the recommended dose for an infant receiving IV gadolinium for a magnetic resonance imaging study.</w:t>
      </w:r>
    </w:p>
    <w:p w:rsidR="00D81E6D" w:rsidRPr="00D81E6D" w:rsidRDefault="00D81E6D" w:rsidP="00D81E6D">
      <w:r w:rsidRPr="00D81E6D">
        <w:t>In general, drugs with small molecular weight, low protein binding in maternal serum, low volume of distribution, and high lipid solubility are more readily excreted in breast milk, and drugs with a long half-life may accumulate in breast milk. Drugs with high oral bioavailability are more likely to be absorbed in the infant gut, whereas drugs with limited or no oral bioavailability may be excreted into breast milk in high concentrations but not actually absorbed by the infant.</w:t>
      </w:r>
    </w:p>
    <w:p w:rsidR="00D81E6D" w:rsidRPr="00D81E6D" w:rsidRDefault="00D81E6D" w:rsidP="00D81E6D">
      <w:r w:rsidRPr="00D81E6D">
        <w:t xml:space="preserve">Pediatricians are often asked about infant safety with maternal medications during lactation. Besides characteristics of the drug itself, we should also consider the breastfeeding infant’s age, health status, and feeding volume and frequency; potential alternative maternal medications; and the parents’ preferences and concerns. </w:t>
      </w:r>
      <w:proofErr w:type="spellStart"/>
      <w:r w:rsidRPr="00D81E6D">
        <w:t>LactMed</w:t>
      </w:r>
      <w:proofErr w:type="spellEnd"/>
      <w:r w:rsidRPr="00D81E6D">
        <w:t xml:space="preserve"> (</w:t>
      </w:r>
      <w:hyperlink r:id="rId5" w:history="1">
        <w:r w:rsidRPr="00D81E6D">
          <w:rPr>
            <w:rStyle w:val="Hyperlink"/>
          </w:rPr>
          <w:t>https://toxnet.nlm.nih.gov/newtoxnet/lactmed.htm</w:t>
        </w:r>
      </w:hyperlink>
      <w:r w:rsidRPr="00D81E6D">
        <w:t xml:space="preserve">) is a free and widely available database provided by the National Institutes of Health that includes information on drug levels in breast milk, possible effects on lactation, infant serum or urine drug concentrations after exposure through breast milk, and potential adverse events in exposed infants. Although this data is not known for all medications, information from the </w:t>
      </w:r>
      <w:proofErr w:type="spellStart"/>
      <w:r w:rsidRPr="00D81E6D">
        <w:t>LactMed</w:t>
      </w:r>
      <w:proofErr w:type="spellEnd"/>
      <w:r w:rsidRPr="00D81E6D">
        <w:t xml:space="preserve"> database can be used to guide decision-making.</w:t>
      </w:r>
    </w:p>
    <w:p w:rsidR="00D81E6D" w:rsidRPr="00D81E6D" w:rsidRDefault="00D81E6D" w:rsidP="00D81E6D">
      <w:r w:rsidRPr="00D81E6D">
        <w:t>The American Academy of Pediatrics recommends exclusive breastfeeding as the normative and best feeding method for about the first 6 months after birth. Among other benefits, breastfeeding decreases an infant’s risk of acute otitis media, upper and lower respiratory tract infections, gastroenteritis, necrotizing enterocolitis, obesity, diabetes, atopic dermatitis, and sudden infant death syndrome. Health benefits for breastfeeding mothers include decreases in maternal postpartum blood loss as well as decreases in the rates of type 2 diabetes mellitus, hypertension, hyperlipidemia, rheumatoid arthritis, and ovarian and breast cancers. Interruptions in exclusive breastfeeding, even for short periods of time, can interfere with milk production, maternal confidence, mother-infant bonding, and in some situations can lead to premature weaning.</w:t>
      </w:r>
    </w:p>
    <w:p w:rsidR="00D81E6D" w:rsidRPr="00D81E6D" w:rsidRDefault="00D81E6D" w:rsidP="00D81E6D">
      <w:r w:rsidRPr="00D81E6D">
        <w:t>There are very few contraindications to breastfeeding; these contradictions include classic galactosemia, maternal human T-lymphotropic virus type 1 or 2 infections, active untreated maternal tuberculosis infection, maternal HIV infection in areas outside the developing world, and the use of some maternal medications and recreational drugs. </w:t>
      </w:r>
    </w:p>
    <w:p w:rsidR="00D81E6D" w:rsidRPr="00D81E6D" w:rsidRDefault="00D81E6D" w:rsidP="00D81E6D">
      <w:pPr>
        <w:rPr>
          <w:b/>
          <w:bCs/>
          <w:u w:val="single"/>
        </w:rPr>
      </w:pPr>
      <w:r w:rsidRPr="00D81E6D">
        <w:rPr>
          <w:b/>
          <w:bCs/>
          <w:u w:val="single"/>
        </w:rPr>
        <w:lastRenderedPageBreak/>
        <w:t>PREP Pearls</w:t>
      </w:r>
    </w:p>
    <w:p w:rsidR="00D81E6D" w:rsidRPr="00D81E6D" w:rsidRDefault="00D81E6D" w:rsidP="00D81E6D">
      <w:pPr>
        <w:numPr>
          <w:ilvl w:val="0"/>
          <w:numId w:val="19"/>
        </w:numPr>
      </w:pPr>
      <w:r w:rsidRPr="00D81E6D">
        <w:t xml:space="preserve">The </w:t>
      </w:r>
      <w:proofErr w:type="spellStart"/>
      <w:r w:rsidRPr="00D81E6D">
        <w:t>LactMed</w:t>
      </w:r>
      <w:proofErr w:type="spellEnd"/>
      <w:r w:rsidRPr="00D81E6D">
        <w:t xml:space="preserve"> database (</w:t>
      </w:r>
      <w:hyperlink r:id="rId6" w:tgtFrame="_blank" w:history="1">
        <w:r w:rsidRPr="00D81E6D">
          <w:rPr>
            <w:rStyle w:val="Hyperlink"/>
          </w:rPr>
          <w:t>https://toxnet.nlm.nih.gov/newtoxnet/lactmed.htm</w:t>
        </w:r>
      </w:hyperlink>
      <w:r w:rsidRPr="00D81E6D">
        <w:t>) is a free and evidence-based resource regarding medication safety during lactation. </w:t>
      </w:r>
    </w:p>
    <w:p w:rsidR="00D81E6D" w:rsidRPr="00D81E6D" w:rsidRDefault="00D81E6D" w:rsidP="00D81E6D">
      <w:pPr>
        <w:numPr>
          <w:ilvl w:val="0"/>
          <w:numId w:val="20"/>
        </w:numPr>
      </w:pPr>
      <w:r w:rsidRPr="00D81E6D">
        <w:t>Lactating mothers who receive gadolinium-based contrast agents can safely breastfeed their infants without interruption.</w:t>
      </w:r>
    </w:p>
    <w:p w:rsidR="00D81E6D" w:rsidRPr="00D81E6D" w:rsidRDefault="00D81E6D" w:rsidP="00D81E6D">
      <w:pPr>
        <w:rPr>
          <w:b/>
          <w:bCs/>
          <w:u w:val="single"/>
        </w:rPr>
      </w:pPr>
      <w:bookmarkStart w:id="1" w:name="survey"/>
      <w:bookmarkEnd w:id="1"/>
      <w:r w:rsidRPr="00D81E6D">
        <w:rPr>
          <w:b/>
          <w:bCs/>
          <w:u w:val="single"/>
        </w:rPr>
        <w:t>Suggested Readings</w:t>
      </w:r>
    </w:p>
    <w:p w:rsidR="00D81E6D" w:rsidRPr="00D81E6D" w:rsidRDefault="00D81E6D" w:rsidP="00D81E6D">
      <w:pPr>
        <w:numPr>
          <w:ilvl w:val="0"/>
          <w:numId w:val="24"/>
        </w:numPr>
      </w:pPr>
      <w:r w:rsidRPr="00D81E6D">
        <w:t>ACR Committee on Drugs and Contrast Media. ACR Manual on Contrast Media. Version 10.2. American College of Radiology; 2016. </w:t>
      </w:r>
      <w:hyperlink r:id="rId7" w:tgtFrame="_blank" w:history="1">
        <w:r w:rsidRPr="00D81E6D">
          <w:rPr>
            <w:rStyle w:val="Hyperlink"/>
          </w:rPr>
          <w:t>American College of Radiology</w:t>
        </w:r>
      </w:hyperlink>
      <w:r w:rsidRPr="00D81E6D">
        <w:t>.</w:t>
      </w:r>
    </w:p>
    <w:p w:rsidR="00D81E6D" w:rsidRPr="00D81E6D" w:rsidRDefault="00D81E6D" w:rsidP="00D81E6D">
      <w:pPr>
        <w:numPr>
          <w:ilvl w:val="0"/>
          <w:numId w:val="24"/>
        </w:numPr>
      </w:pPr>
      <w:r w:rsidRPr="00D81E6D">
        <w:t>Sachs HC, Committee on Drugs. The transfer of drugs and therapeutics into human breast milk: an update on selected topics. </w:t>
      </w:r>
      <w:r w:rsidRPr="00D81E6D">
        <w:rPr>
          <w:i/>
          <w:iCs/>
        </w:rPr>
        <w:t>Pediatrics</w:t>
      </w:r>
      <w:r w:rsidRPr="00D81E6D">
        <w:t>. 2013;132(3</w:t>
      </w:r>
      <w:proofErr w:type="gramStart"/>
      <w:r w:rsidRPr="00D81E6D">
        <w:t>):e</w:t>
      </w:r>
      <w:proofErr w:type="gramEnd"/>
      <w:r w:rsidRPr="00D81E6D">
        <w:t xml:space="preserve">796–e809. </w:t>
      </w:r>
      <w:proofErr w:type="spellStart"/>
      <w:r w:rsidRPr="00D81E6D">
        <w:t>doi</w:t>
      </w:r>
      <w:proofErr w:type="spellEnd"/>
      <w:r w:rsidRPr="00D81E6D">
        <w:t>: </w:t>
      </w:r>
      <w:hyperlink r:id="rId8" w:tgtFrame="_blank" w:history="1">
        <w:r w:rsidRPr="00D81E6D">
          <w:rPr>
            <w:rStyle w:val="Hyperlink"/>
          </w:rPr>
          <w:t>http://dx.doi.org/10.1542/peds.2013-1985</w:t>
        </w:r>
      </w:hyperlink>
      <w:r w:rsidRPr="00D81E6D">
        <w:t>.</w:t>
      </w:r>
    </w:p>
    <w:p w:rsidR="00D81E6D" w:rsidRPr="00D81E6D" w:rsidRDefault="00D81E6D" w:rsidP="00D81E6D">
      <w:pPr>
        <w:numPr>
          <w:ilvl w:val="0"/>
          <w:numId w:val="24"/>
        </w:numPr>
      </w:pPr>
      <w:r w:rsidRPr="00D81E6D">
        <w:t>Section on Breastfeeding. Breastfeeding and the use of human milk. </w:t>
      </w:r>
      <w:r w:rsidRPr="00D81E6D">
        <w:rPr>
          <w:i/>
          <w:iCs/>
        </w:rPr>
        <w:t>Pediatrics</w:t>
      </w:r>
      <w:r w:rsidRPr="00D81E6D">
        <w:t>. 2012;129(3</w:t>
      </w:r>
      <w:proofErr w:type="gramStart"/>
      <w:r w:rsidRPr="00D81E6D">
        <w:t>):e</w:t>
      </w:r>
      <w:proofErr w:type="gramEnd"/>
      <w:r w:rsidRPr="00D81E6D">
        <w:t xml:space="preserve">827–e841. </w:t>
      </w:r>
      <w:proofErr w:type="spellStart"/>
      <w:r w:rsidRPr="00D81E6D">
        <w:t>doi</w:t>
      </w:r>
      <w:proofErr w:type="spellEnd"/>
      <w:r w:rsidRPr="00D81E6D">
        <w:t>: </w:t>
      </w:r>
      <w:hyperlink r:id="rId9" w:tgtFrame="_blank" w:history="1">
        <w:r w:rsidRPr="00D81E6D">
          <w:rPr>
            <w:rStyle w:val="Hyperlink"/>
          </w:rPr>
          <w:t>http://dx.doi.org/10.1542/peds.2011-3552</w:t>
        </w:r>
      </w:hyperlink>
      <w:r w:rsidRPr="00D81E6D">
        <w:t>.</w:t>
      </w:r>
    </w:p>
    <w:p w:rsidR="00D81E6D" w:rsidRDefault="00D81E6D">
      <w:pPr>
        <w:rPr>
          <w:b/>
          <w:u w:val="single"/>
        </w:rPr>
      </w:pPr>
    </w:p>
    <w:p w:rsidR="0091425F" w:rsidRPr="00A379EA" w:rsidRDefault="0091425F" w:rsidP="0091425F">
      <w:pPr>
        <w:rPr>
          <w:b/>
          <w:u w:val="single"/>
        </w:rPr>
      </w:pPr>
      <w:r>
        <w:rPr>
          <w:b/>
          <w:u w:val="single"/>
        </w:rPr>
        <w:t>Question 2</w:t>
      </w:r>
    </w:p>
    <w:p w:rsidR="00777CA9" w:rsidRPr="00777CA9" w:rsidRDefault="00777CA9" w:rsidP="00777CA9">
      <w:r w:rsidRPr="00777CA9">
        <w:t xml:space="preserve">The infant in the vignette demonstrates the characteristic findings of dietary protein-induced colitis: small amounts of blood and mucus in the stool in the presence of normal growth and physical examination findings. Dietary protein induced colitis typically presents in the first few months after birth, with a mean age at onset of 2 months. The most common triggers are cow milk protein and, less commonly, soy protein. Breastfed infants can develop this condition </w:t>
      </w:r>
      <w:proofErr w:type="gramStart"/>
      <w:r w:rsidRPr="00777CA9">
        <w:t>as a result of</w:t>
      </w:r>
      <w:proofErr w:type="gramEnd"/>
      <w:r w:rsidRPr="00777CA9">
        <w:t xml:space="preserve"> proteins the mother ingests, therefore, a trial of cow milk and soy elimination from this mother’s diet is warranted. Bleeding resolves within 72 hours after this intervention, in most cases.</w:t>
      </w:r>
    </w:p>
    <w:p w:rsidR="00777CA9" w:rsidRPr="00777CA9" w:rsidRDefault="00777CA9" w:rsidP="00777CA9">
      <w:r w:rsidRPr="00777CA9">
        <w:t>The diagnosis of this condition is based primarily on the history and physical examination. Anal fissures, another common cause of small amounts of rectal bleeding in otherwise healthy young infants, should be ruled out by physical examination. Further evaluation is not necessary for suspected dietary protein-induced colitis. However, if there are other signs or symptoms, such as vomiting, poor weight gain, large amounts of blood in the stool, fever, or other signs of infection, alternate diagnoses should be considered. Additional evaluation may be required if the symptoms do not resolve with dietary elimination of the offending protein or if additional symptoms occur.</w:t>
      </w:r>
    </w:p>
    <w:p w:rsidR="00777CA9" w:rsidRPr="00777CA9" w:rsidRDefault="00777CA9" w:rsidP="00777CA9">
      <w:r w:rsidRPr="00777CA9">
        <w:t>Treatment for dietary protein-induced colitis is elimination of the offending protein. In the case of an infant who is formula fed, changing to a protein hydrolysate or amino acid–based formula would be appropriate, but for a breastfed infant, such as the one in the vignette, continued breastfeeding with changes to the mother’s diet is preferred. Because this condition is a response to the protein rather than the carbohydrate component of the feeding, changing to a lactose- free formula would have no effect on the symptoms. Because soy is often a trigger for the condition, changing to soy formula is not appropriate. Dietary protein-induced colitis is not an immunoglobulin E (</w:t>
      </w:r>
      <w:proofErr w:type="spellStart"/>
      <w:r w:rsidRPr="00777CA9">
        <w:t>IgE</w:t>
      </w:r>
      <w:proofErr w:type="spellEnd"/>
      <w:r w:rsidRPr="00777CA9">
        <w:t xml:space="preserve">)-mediated condition, therefore performing serum-specific </w:t>
      </w:r>
      <w:proofErr w:type="spellStart"/>
      <w:r w:rsidRPr="00777CA9">
        <w:t>IgE</w:t>
      </w:r>
      <w:proofErr w:type="spellEnd"/>
      <w:r w:rsidRPr="00777CA9">
        <w:t xml:space="preserve"> test is not warranted. Symptoms that suggest </w:t>
      </w:r>
      <w:proofErr w:type="spellStart"/>
      <w:r w:rsidRPr="00777CA9">
        <w:t>IgE</w:t>
      </w:r>
      <w:proofErr w:type="spellEnd"/>
      <w:r w:rsidRPr="00777CA9">
        <w:t>-mediated cow milk allergy, such as wheezing and the involvement of other organ systems besides the gastrointestinal system (</w:t>
      </w:r>
      <w:proofErr w:type="spellStart"/>
      <w:r w:rsidRPr="00777CA9">
        <w:t>eg</w:t>
      </w:r>
      <w:proofErr w:type="spellEnd"/>
      <w:r w:rsidRPr="00777CA9">
        <w:t>, urticaria), typically occur immediately after milk ingestion. Endoscopy and biopsy are generally reserved for infants whose symptoms worsen after maternal cow milk and soy elimination, or if the bleeding does not resolve.</w:t>
      </w:r>
    </w:p>
    <w:p w:rsidR="00777CA9" w:rsidRPr="00777CA9" w:rsidRDefault="00777CA9" w:rsidP="00777CA9">
      <w:r w:rsidRPr="00777CA9">
        <w:t>Parents often seek guidance about their infant’s stooling pattern. Normal frequency and consistency can vary widely between individual infants and over time. Soon after birth, breastfed infants typically have more frequent, less formed, sometimes mucous-containing stools compared with formula-fed infants. Most breastfed infants average about 4 stools per day at 1 month of age, whereas formula-fed infants typically have 2 to 3 stools per day. Stooling frequency may occur as often as after every feeding soon after birth, to as infrequently as every few days as the infant matures. Breastfed infants’ stools become more formed once they begin taking solids (typically around 6 months of age).</w:t>
      </w:r>
    </w:p>
    <w:p w:rsidR="00777CA9" w:rsidRPr="00777CA9" w:rsidRDefault="00777CA9" w:rsidP="00777CA9">
      <w:pPr>
        <w:rPr>
          <w:b/>
          <w:bCs/>
          <w:u w:val="single"/>
        </w:rPr>
      </w:pPr>
      <w:r w:rsidRPr="00777CA9">
        <w:rPr>
          <w:b/>
          <w:bCs/>
          <w:u w:val="single"/>
        </w:rPr>
        <w:lastRenderedPageBreak/>
        <w:t>PREP Pearls</w:t>
      </w:r>
    </w:p>
    <w:p w:rsidR="00777CA9" w:rsidRPr="00777CA9" w:rsidRDefault="00777CA9" w:rsidP="00777CA9">
      <w:pPr>
        <w:numPr>
          <w:ilvl w:val="0"/>
          <w:numId w:val="25"/>
        </w:numPr>
      </w:pPr>
      <w:r w:rsidRPr="00777CA9">
        <w:t>Dietary protein-induced colitis is characterized by small amounts of blood and mucus in the stools of otherwise healthy infants.</w:t>
      </w:r>
    </w:p>
    <w:p w:rsidR="00777CA9" w:rsidRPr="00777CA9" w:rsidRDefault="00777CA9" w:rsidP="00777CA9">
      <w:pPr>
        <w:numPr>
          <w:ilvl w:val="0"/>
          <w:numId w:val="26"/>
        </w:numPr>
      </w:pPr>
      <w:r w:rsidRPr="00777CA9">
        <w:t>Treatment for dietary protein-induced colitis in infants includes elimination of cow milk and soy protein from the mother’s diet for breastfed infants, and feeding an amino acid-based formula for formula-fed infants.</w:t>
      </w:r>
    </w:p>
    <w:p w:rsidR="00777CA9" w:rsidRPr="00777CA9" w:rsidRDefault="00777CA9" w:rsidP="00777CA9">
      <w:pPr>
        <w:numPr>
          <w:ilvl w:val="0"/>
          <w:numId w:val="27"/>
        </w:numPr>
      </w:pPr>
      <w:r w:rsidRPr="00777CA9">
        <w:t>In cases of suspected dietary protein-induced colitis, poor growth, vomiting, large amounts of blood in the stool, fever or other signs of infection, or failure to respond to the elimination of cow milk or soy from the diet requires further evaluation.</w:t>
      </w:r>
    </w:p>
    <w:p w:rsidR="00777CA9" w:rsidRPr="00777CA9" w:rsidRDefault="00777CA9" w:rsidP="00777CA9">
      <w:pPr>
        <w:rPr>
          <w:b/>
          <w:bCs/>
          <w:u w:val="single"/>
        </w:rPr>
      </w:pPr>
      <w:r w:rsidRPr="00777CA9">
        <w:rPr>
          <w:b/>
          <w:bCs/>
          <w:u w:val="single"/>
        </w:rPr>
        <w:t>Suggested Readings</w:t>
      </w:r>
    </w:p>
    <w:p w:rsidR="00777CA9" w:rsidRPr="00777CA9" w:rsidRDefault="00777CA9" w:rsidP="00777CA9">
      <w:pPr>
        <w:numPr>
          <w:ilvl w:val="0"/>
          <w:numId w:val="31"/>
        </w:numPr>
      </w:pPr>
      <w:proofErr w:type="spellStart"/>
      <w:r w:rsidRPr="00777CA9">
        <w:t>Alvares</w:t>
      </w:r>
      <w:proofErr w:type="spellEnd"/>
      <w:r w:rsidRPr="00777CA9">
        <w:t xml:space="preserve"> M, Kao L, Mittal V, </w:t>
      </w:r>
      <w:proofErr w:type="spellStart"/>
      <w:r w:rsidRPr="00777CA9">
        <w:t>Wuu</w:t>
      </w:r>
      <w:proofErr w:type="spellEnd"/>
      <w:r w:rsidRPr="00777CA9">
        <w:t xml:space="preserve"> A, Clark A, Bird JA. Misdiagnosed food allergy resulting in severe malnutrition in an infant. </w:t>
      </w:r>
      <w:r w:rsidRPr="00777CA9">
        <w:rPr>
          <w:i/>
          <w:iCs/>
        </w:rPr>
        <w:t>Pediatrics</w:t>
      </w:r>
      <w:r w:rsidRPr="00777CA9">
        <w:t>. 2013;132(1</w:t>
      </w:r>
      <w:proofErr w:type="gramStart"/>
      <w:r w:rsidRPr="00777CA9">
        <w:t>):e</w:t>
      </w:r>
      <w:proofErr w:type="gramEnd"/>
      <w:r w:rsidRPr="00777CA9">
        <w:t xml:space="preserve">229-e232. </w:t>
      </w:r>
      <w:proofErr w:type="spellStart"/>
      <w:r w:rsidRPr="00777CA9">
        <w:t>doi</w:t>
      </w:r>
      <w:proofErr w:type="spellEnd"/>
      <w:r w:rsidRPr="00777CA9">
        <w:t>: </w:t>
      </w:r>
      <w:hyperlink r:id="rId10" w:tgtFrame="_blank" w:history="1">
        <w:r w:rsidRPr="00777CA9">
          <w:rPr>
            <w:rStyle w:val="Hyperlink"/>
          </w:rPr>
          <w:t>http://dx.doi.org/10.1542/peds.2012-2362</w:t>
        </w:r>
      </w:hyperlink>
      <w:r w:rsidRPr="00777CA9">
        <w:t>.</w:t>
      </w:r>
    </w:p>
    <w:p w:rsidR="00777CA9" w:rsidRPr="00777CA9" w:rsidRDefault="00777CA9" w:rsidP="00777CA9">
      <w:pPr>
        <w:numPr>
          <w:ilvl w:val="0"/>
          <w:numId w:val="31"/>
        </w:numPr>
      </w:pPr>
      <w:proofErr w:type="spellStart"/>
      <w:r w:rsidRPr="00777CA9">
        <w:t>Hyams</w:t>
      </w:r>
      <w:proofErr w:type="spellEnd"/>
      <w:r w:rsidRPr="00777CA9">
        <w:t xml:space="preserve"> JS, </w:t>
      </w:r>
      <w:proofErr w:type="spellStart"/>
      <w:r w:rsidRPr="00777CA9">
        <w:t>Treem</w:t>
      </w:r>
      <w:proofErr w:type="spellEnd"/>
      <w:r w:rsidRPr="00777CA9">
        <w:t xml:space="preserve"> WR, Etienne NL, et al. Effect of infant formula on stool characteristics of young infants. </w:t>
      </w:r>
      <w:r w:rsidRPr="00777CA9">
        <w:rPr>
          <w:i/>
          <w:iCs/>
        </w:rPr>
        <w:t>Pediatrics</w:t>
      </w:r>
      <w:r w:rsidRPr="00777CA9">
        <w:t xml:space="preserve">. </w:t>
      </w:r>
      <w:proofErr w:type="gramStart"/>
      <w:r w:rsidRPr="00777CA9">
        <w:t>1995;95:50</w:t>
      </w:r>
      <w:proofErr w:type="gramEnd"/>
      <w:r w:rsidRPr="00777CA9">
        <w:t>-54.</w:t>
      </w:r>
    </w:p>
    <w:p w:rsidR="00777CA9" w:rsidRPr="00777CA9" w:rsidRDefault="00777CA9" w:rsidP="00777CA9">
      <w:pPr>
        <w:numPr>
          <w:ilvl w:val="0"/>
          <w:numId w:val="31"/>
        </w:numPr>
      </w:pPr>
      <w:proofErr w:type="spellStart"/>
      <w:r w:rsidRPr="00777CA9">
        <w:t>Sicherer</w:t>
      </w:r>
      <w:proofErr w:type="spellEnd"/>
      <w:r w:rsidRPr="00777CA9">
        <w:t xml:space="preserve"> SH. Clinical aspects of gastrointestinal food allergy in childhood. </w:t>
      </w:r>
      <w:r w:rsidRPr="00777CA9">
        <w:rPr>
          <w:i/>
          <w:iCs/>
        </w:rPr>
        <w:t>Pediatrics</w:t>
      </w:r>
      <w:r w:rsidRPr="00777CA9">
        <w:t>. 2003;111(S3):1609-1616.</w:t>
      </w:r>
    </w:p>
    <w:p w:rsidR="0091425F" w:rsidRDefault="0091425F" w:rsidP="00A379EA"/>
    <w:p w:rsidR="003E0EEC" w:rsidRPr="003E0EEC" w:rsidRDefault="003E0EEC" w:rsidP="00A379EA">
      <w:pPr>
        <w:rPr>
          <w:b/>
          <w:u w:val="single"/>
        </w:rPr>
      </w:pPr>
      <w:r w:rsidRPr="003E0EEC">
        <w:rPr>
          <w:b/>
          <w:u w:val="single"/>
        </w:rPr>
        <w:t>Question 3</w:t>
      </w:r>
    </w:p>
    <w:p w:rsidR="003E0EEC" w:rsidRPr="003E0EEC" w:rsidRDefault="003E0EEC" w:rsidP="003E0EEC">
      <w:r w:rsidRPr="003E0EEC">
        <w:t>There are many terms for the movement of stomach contents up the esophagus and to or out of the mouth. These terms include regurgitation, gastroesophageal reflux, gastroesophageal reflux disease, rumination, and vomiting. </w:t>
      </w:r>
    </w:p>
    <w:p w:rsidR="003E0EEC" w:rsidRPr="003E0EEC" w:rsidRDefault="003E0EEC" w:rsidP="003E0EEC">
      <w:r w:rsidRPr="003E0EEC">
        <w:t xml:space="preserve">Regurgitation is the involuntary effortless return of stomach contents to the mouth and is common in infants. Regurgitation is associated with the transient relaxation of the lower esophageal sphincter. The stomach contents are often expelled, and the process is commonly referred to as “spitting up.” Sixty-seven percent of infants aged 4 months will experience regurgitation daily. Regurgitation is a physiologic process that resolves in 95% of infants by 12 months of age. Gastric distention, as seen in infants feeding large volumes, increases the frequency of the </w:t>
      </w:r>
      <w:proofErr w:type="spellStart"/>
      <w:r w:rsidRPr="003E0EEC">
        <w:t>the</w:t>
      </w:r>
      <w:proofErr w:type="spellEnd"/>
      <w:r w:rsidRPr="003E0EEC">
        <w:t xml:space="preserve"> lower esophageal sphincter relaxation and therefore increases regurgitation around meal times.</w:t>
      </w:r>
    </w:p>
    <w:p w:rsidR="003E0EEC" w:rsidRPr="003E0EEC" w:rsidRDefault="003E0EEC" w:rsidP="003E0EEC">
      <w:r w:rsidRPr="003E0EEC">
        <w:t>Rome IV criteria for infant regurgitation include regurgitation 2 or more times per day for 3 or more weeks without retching, hematemesis, aspiration, apnea, failure to thrive, feeding or swallowing difficulty, or abnormal posturing in an otherwise healthy infant 3 weeks to 12 months of age.</w:t>
      </w:r>
    </w:p>
    <w:p w:rsidR="003E0EEC" w:rsidRPr="003E0EEC" w:rsidRDefault="003E0EEC" w:rsidP="003E0EEC">
      <w:r w:rsidRPr="003E0EEC">
        <w:t>Vomiting is defined by a central nervous system reflex involving skeletal muscles and the autonomic nervous system resulting in the forcible expulsion of gastric contents through the mouth. This process is accomplished with coordination of musculature in the diaphragm, small bowel, stomach, and esophagus.</w:t>
      </w:r>
    </w:p>
    <w:p w:rsidR="003E0EEC" w:rsidRPr="003E0EEC" w:rsidRDefault="003E0EEC" w:rsidP="003E0EEC">
      <w:r w:rsidRPr="003E0EEC">
        <w:t>Gastroesophageal reflux is the regurgitation of stomach contents into the esophagus without associated symptoms. It occurs in all infants, children, and adults and is not associated with harm in most people. It is difficult to differentiate gastroesophageal reflux and regurgitation. Gastroesophageal reflux disease is regurgitation of stomach contents into the esophagus with associated tissue damage or symptoms (</w:t>
      </w:r>
      <w:proofErr w:type="spellStart"/>
      <w:r w:rsidRPr="003E0EEC">
        <w:t>eg</w:t>
      </w:r>
      <w:proofErr w:type="spellEnd"/>
      <w:r w:rsidRPr="003E0EEC">
        <w:t>, pain, failure to thrive, irritability, cough, dental erosions).</w:t>
      </w:r>
    </w:p>
    <w:p w:rsidR="003E0EEC" w:rsidRPr="003E0EEC" w:rsidRDefault="003E0EEC" w:rsidP="003E0EEC">
      <w:r w:rsidRPr="003E0EEC">
        <w:t xml:space="preserve">Rumination is the effortless, voluntary, habitual regurgitation of recently swallowed stomach contents without associated heartburn, discomfort, or nausea. It is a rare disorder. Rome criteria for diagnosis include repetitive contractions of the abdominal muscles, diaphragm, and tongue followed by regurgitation of stomach contents, which are then expectorated or chewed and re-swallowed. Three of the following criteria are required for diagnosis: onset between 3 and 8 months of age; does not respond to management for gastroesophageal reflux disease, anticholinergics, formula changes, gavage, or gastrostomy tube feedings; unaccompanied by signs of nausea or distress; and does not occur during </w:t>
      </w:r>
      <w:r w:rsidRPr="003E0EEC">
        <w:lastRenderedPageBreak/>
        <w:t>sleep and when the infant is interacting with individuals. Complications of rumination can include weight loss, electrolyte abnormalities, malnutrition, dental erosions, halitosis, and inability to function. </w:t>
      </w:r>
    </w:p>
    <w:p w:rsidR="003E0EEC" w:rsidRPr="003E0EEC" w:rsidRDefault="003E0EEC" w:rsidP="003E0EEC">
      <w:pPr>
        <w:rPr>
          <w:b/>
          <w:bCs/>
          <w:u w:val="single"/>
        </w:rPr>
      </w:pPr>
      <w:r w:rsidRPr="003E0EEC">
        <w:rPr>
          <w:b/>
          <w:bCs/>
          <w:u w:val="single"/>
        </w:rPr>
        <w:t>PREP Pearls</w:t>
      </w:r>
    </w:p>
    <w:p w:rsidR="003E0EEC" w:rsidRPr="003E0EEC" w:rsidRDefault="003E0EEC" w:rsidP="003E0EEC">
      <w:pPr>
        <w:numPr>
          <w:ilvl w:val="0"/>
          <w:numId w:val="32"/>
        </w:numPr>
      </w:pPr>
      <w:r w:rsidRPr="003E0EEC">
        <w:t>Regurgitation is the involuntary effortless return of stomach contents to the mouth and is common in infants. Regurgitation resolves in 95% of infants by 12 months of age.</w:t>
      </w:r>
    </w:p>
    <w:p w:rsidR="003E0EEC" w:rsidRPr="003E0EEC" w:rsidRDefault="003E0EEC" w:rsidP="003E0EEC">
      <w:pPr>
        <w:numPr>
          <w:ilvl w:val="0"/>
          <w:numId w:val="33"/>
        </w:numPr>
      </w:pPr>
      <w:r w:rsidRPr="003E0EEC">
        <w:t>Gastroesophageal reflux is regurgitation of stomach contents into the esophagus without associated symptoms.</w:t>
      </w:r>
    </w:p>
    <w:p w:rsidR="003E0EEC" w:rsidRPr="003E0EEC" w:rsidRDefault="003E0EEC" w:rsidP="003E0EEC">
      <w:pPr>
        <w:numPr>
          <w:ilvl w:val="0"/>
          <w:numId w:val="34"/>
        </w:numPr>
      </w:pPr>
      <w:r w:rsidRPr="003E0EEC">
        <w:t>Gastroesophageal reflux disease is regurgitation of stomach contents into the esophagus with associated tissue damage or symptoms.</w:t>
      </w:r>
    </w:p>
    <w:p w:rsidR="003E0EEC" w:rsidRPr="003E0EEC" w:rsidRDefault="003E0EEC" w:rsidP="003E0EEC">
      <w:pPr>
        <w:numPr>
          <w:ilvl w:val="0"/>
          <w:numId w:val="35"/>
        </w:numPr>
      </w:pPr>
      <w:r w:rsidRPr="003E0EEC">
        <w:t>Rumination is the effortless, voluntary, habitual regurgitation of recently swallowed stomach contents without associated heartburn, discomfort, or nausea.</w:t>
      </w:r>
    </w:p>
    <w:p w:rsidR="003E0EEC" w:rsidRPr="003E0EEC" w:rsidRDefault="003E0EEC" w:rsidP="003E0EEC">
      <w:pPr>
        <w:rPr>
          <w:b/>
          <w:bCs/>
          <w:u w:val="single"/>
        </w:rPr>
      </w:pPr>
      <w:r w:rsidRPr="003E0EEC">
        <w:rPr>
          <w:b/>
          <w:bCs/>
          <w:u w:val="single"/>
        </w:rPr>
        <w:t>Suggested Readings</w:t>
      </w:r>
    </w:p>
    <w:p w:rsidR="003E0EEC" w:rsidRPr="003E0EEC" w:rsidRDefault="003E0EEC" w:rsidP="003E0EEC">
      <w:pPr>
        <w:numPr>
          <w:ilvl w:val="0"/>
          <w:numId w:val="38"/>
        </w:numPr>
      </w:pPr>
      <w:r w:rsidRPr="003E0EEC">
        <w:t>Di Lorenzo C. Other functional gastrointestinal disorders in infants and young children. </w:t>
      </w:r>
      <w:r w:rsidRPr="003E0EEC">
        <w:rPr>
          <w:i/>
          <w:iCs/>
        </w:rPr>
        <w:t xml:space="preserve">JPGN J </w:t>
      </w:r>
      <w:proofErr w:type="spellStart"/>
      <w:r w:rsidRPr="003E0EEC">
        <w:rPr>
          <w:i/>
          <w:iCs/>
        </w:rPr>
        <w:t>Pediatr</w:t>
      </w:r>
      <w:proofErr w:type="spellEnd"/>
      <w:r w:rsidRPr="003E0EEC">
        <w:rPr>
          <w:i/>
          <w:iCs/>
        </w:rPr>
        <w:t xml:space="preserve"> Gastroenterol </w:t>
      </w:r>
      <w:proofErr w:type="spellStart"/>
      <w:r w:rsidRPr="003E0EEC">
        <w:rPr>
          <w:i/>
          <w:iCs/>
        </w:rPr>
        <w:t>Nutr</w:t>
      </w:r>
      <w:proofErr w:type="spellEnd"/>
      <w:r w:rsidRPr="003E0EEC">
        <w:rPr>
          <w:i/>
          <w:iCs/>
        </w:rPr>
        <w:t>.</w:t>
      </w:r>
      <w:r w:rsidRPr="003E0EEC">
        <w:t> 2013;57(suppl 1</w:t>
      </w:r>
      <w:proofErr w:type="gramStart"/>
      <w:r w:rsidRPr="003E0EEC">
        <w:t>):S</w:t>
      </w:r>
      <w:proofErr w:type="gramEnd"/>
      <w:r w:rsidRPr="003E0EEC">
        <w:t xml:space="preserve">36–S38. </w:t>
      </w:r>
      <w:proofErr w:type="spellStart"/>
      <w:r w:rsidRPr="003E0EEC">
        <w:t>doi</w:t>
      </w:r>
      <w:proofErr w:type="spellEnd"/>
      <w:r w:rsidRPr="003E0EEC">
        <w:t>: </w:t>
      </w:r>
      <w:hyperlink r:id="rId11" w:tgtFrame="_blank" w:history="1">
        <w:r w:rsidRPr="003E0EEC">
          <w:rPr>
            <w:rStyle w:val="Hyperlink"/>
          </w:rPr>
          <w:t>http://dx.doi.org/10.1097/01.mpg.0000441933.15093.c3</w:t>
        </w:r>
      </w:hyperlink>
      <w:r w:rsidRPr="003E0EEC">
        <w:t>.</w:t>
      </w:r>
    </w:p>
    <w:p w:rsidR="003E0EEC" w:rsidRPr="003E0EEC" w:rsidRDefault="003E0EEC" w:rsidP="003E0EEC">
      <w:pPr>
        <w:numPr>
          <w:ilvl w:val="0"/>
          <w:numId w:val="38"/>
        </w:numPr>
      </w:pPr>
      <w:r w:rsidRPr="003E0EEC">
        <w:t xml:space="preserve">Lightdale JR, </w:t>
      </w:r>
      <w:proofErr w:type="spellStart"/>
      <w:r w:rsidRPr="003E0EEC">
        <w:t>Gremse</w:t>
      </w:r>
      <w:proofErr w:type="spellEnd"/>
      <w:r w:rsidRPr="003E0EEC">
        <w:t xml:space="preserve"> DA, Section on Gastroenterology, Hepatology, and Nutrition. Gastroesophageal reflux: management guidance for the pediatrician. </w:t>
      </w:r>
      <w:r w:rsidRPr="003E0EEC">
        <w:rPr>
          <w:i/>
          <w:iCs/>
        </w:rPr>
        <w:t>Pediatrics</w:t>
      </w:r>
      <w:r w:rsidRPr="003E0EEC">
        <w:t>. 2013;131(5</w:t>
      </w:r>
      <w:proofErr w:type="gramStart"/>
      <w:r w:rsidRPr="003E0EEC">
        <w:t>):e</w:t>
      </w:r>
      <w:proofErr w:type="gramEnd"/>
      <w:r w:rsidRPr="003E0EEC">
        <w:t xml:space="preserve">1684–e1695. </w:t>
      </w:r>
      <w:proofErr w:type="spellStart"/>
      <w:r w:rsidRPr="003E0EEC">
        <w:t>doi</w:t>
      </w:r>
      <w:proofErr w:type="spellEnd"/>
      <w:r w:rsidRPr="003E0EEC">
        <w:t>: </w:t>
      </w:r>
      <w:hyperlink r:id="rId12" w:tgtFrame="_blank" w:history="1">
        <w:r w:rsidRPr="003E0EEC">
          <w:rPr>
            <w:rStyle w:val="Hyperlink"/>
          </w:rPr>
          <w:t>http://dx.doi.org/10.1542/peds.2013-0421</w:t>
        </w:r>
      </w:hyperlink>
      <w:r w:rsidRPr="003E0EEC">
        <w:t>.</w:t>
      </w:r>
    </w:p>
    <w:p w:rsidR="003E0EEC" w:rsidRPr="003E0EEC" w:rsidRDefault="003E0EEC" w:rsidP="003E0EEC">
      <w:pPr>
        <w:numPr>
          <w:ilvl w:val="0"/>
          <w:numId w:val="38"/>
        </w:numPr>
      </w:pPr>
      <w:r w:rsidRPr="003E0EEC">
        <w:t>Sullivan JS, Sundaram SS. Gastroesophageal reflux. </w:t>
      </w:r>
      <w:proofErr w:type="spellStart"/>
      <w:r w:rsidRPr="003E0EEC">
        <w:rPr>
          <w:i/>
          <w:iCs/>
        </w:rPr>
        <w:t>Pediatr</w:t>
      </w:r>
      <w:proofErr w:type="spellEnd"/>
      <w:r w:rsidRPr="003E0EEC">
        <w:rPr>
          <w:i/>
          <w:iCs/>
        </w:rPr>
        <w:t xml:space="preserve"> Rev.</w:t>
      </w:r>
      <w:r w:rsidRPr="003E0EEC">
        <w:t xml:space="preserve"> 2012:33(6):243–254. </w:t>
      </w:r>
      <w:proofErr w:type="spellStart"/>
      <w:r w:rsidRPr="003E0EEC">
        <w:t>doi</w:t>
      </w:r>
      <w:proofErr w:type="spellEnd"/>
      <w:r w:rsidRPr="003E0EEC">
        <w:t>: </w:t>
      </w:r>
      <w:hyperlink r:id="rId13" w:tgtFrame="_blank" w:history="1">
        <w:r w:rsidRPr="003E0EEC">
          <w:rPr>
            <w:rStyle w:val="Hyperlink"/>
          </w:rPr>
          <w:t>http://dx.doi.org/10.1542/pir.33-6-243</w:t>
        </w:r>
      </w:hyperlink>
      <w:r w:rsidRPr="003E0EEC">
        <w:t>.</w:t>
      </w:r>
    </w:p>
    <w:p w:rsidR="003E0EEC" w:rsidRPr="003E0EEC" w:rsidRDefault="003E0EEC" w:rsidP="003E0EEC">
      <w:pPr>
        <w:numPr>
          <w:ilvl w:val="0"/>
          <w:numId w:val="38"/>
        </w:numPr>
      </w:pPr>
      <w:r w:rsidRPr="003E0EEC">
        <w:t xml:space="preserve">Tucker E, Knowles K, Wright J, Fox MR. Rumination variations: </w:t>
      </w:r>
      <w:proofErr w:type="spellStart"/>
      <w:r w:rsidRPr="003E0EEC">
        <w:t>aetiology</w:t>
      </w:r>
      <w:proofErr w:type="spellEnd"/>
      <w:r w:rsidRPr="003E0EEC">
        <w:t xml:space="preserve"> and classification of abnormal </w:t>
      </w:r>
      <w:proofErr w:type="spellStart"/>
      <w:r w:rsidRPr="003E0EEC">
        <w:t>behavioural</w:t>
      </w:r>
      <w:proofErr w:type="spellEnd"/>
      <w:r w:rsidRPr="003E0EEC">
        <w:t xml:space="preserve"> responses to digestive symptoms based on high-resolution manometry studies. Aliment </w:t>
      </w:r>
      <w:proofErr w:type="spellStart"/>
      <w:r w:rsidRPr="003E0EEC">
        <w:rPr>
          <w:i/>
          <w:iCs/>
        </w:rPr>
        <w:t>Pharmacol</w:t>
      </w:r>
      <w:proofErr w:type="spellEnd"/>
      <w:r w:rsidRPr="003E0EEC">
        <w:rPr>
          <w:i/>
          <w:iCs/>
        </w:rPr>
        <w:t xml:space="preserve"> </w:t>
      </w:r>
      <w:proofErr w:type="spellStart"/>
      <w:r w:rsidRPr="003E0EEC">
        <w:rPr>
          <w:i/>
          <w:iCs/>
        </w:rPr>
        <w:t>Ther</w:t>
      </w:r>
      <w:proofErr w:type="spellEnd"/>
      <w:r w:rsidRPr="003E0EEC">
        <w:t xml:space="preserve">. 2013;37(2):263–274. </w:t>
      </w:r>
      <w:proofErr w:type="spellStart"/>
      <w:r w:rsidRPr="003E0EEC">
        <w:t>doi</w:t>
      </w:r>
      <w:proofErr w:type="spellEnd"/>
      <w:r w:rsidRPr="003E0EEC">
        <w:t>: </w:t>
      </w:r>
      <w:hyperlink r:id="rId14" w:tgtFrame="_blank" w:history="1">
        <w:r w:rsidRPr="003E0EEC">
          <w:rPr>
            <w:rStyle w:val="Hyperlink"/>
          </w:rPr>
          <w:t>http://dx.doi.org/10.1111/apt.12148</w:t>
        </w:r>
      </w:hyperlink>
      <w:r w:rsidRPr="003E0EEC">
        <w:t>.</w:t>
      </w:r>
    </w:p>
    <w:p w:rsidR="003E0EEC" w:rsidRPr="003E0EEC" w:rsidRDefault="003E0EEC" w:rsidP="003E0EEC">
      <w:pPr>
        <w:numPr>
          <w:ilvl w:val="0"/>
          <w:numId w:val="38"/>
        </w:numPr>
      </w:pPr>
      <w:proofErr w:type="spellStart"/>
      <w:r w:rsidRPr="003E0EEC">
        <w:t>Vandenplas</w:t>
      </w:r>
      <w:proofErr w:type="spellEnd"/>
      <w:r w:rsidRPr="003E0EEC">
        <w:t xml:space="preserve"> Y, Hauser B, </w:t>
      </w:r>
      <w:proofErr w:type="spellStart"/>
      <w:r w:rsidRPr="003E0EEC">
        <w:t>Devreker</w:t>
      </w:r>
      <w:proofErr w:type="spellEnd"/>
      <w:r w:rsidRPr="003E0EEC">
        <w:t xml:space="preserve"> T, Salvatore S. Infant regurgitation and pediatric gastroesophageal reflux disease. In: Faure C, Di Lorenzo C, Thapar N, eds. Pediatric </w:t>
      </w:r>
      <w:proofErr w:type="spellStart"/>
      <w:r w:rsidRPr="003E0EEC">
        <w:t>Neurogastroenterology</w:t>
      </w:r>
      <w:proofErr w:type="spellEnd"/>
      <w:r w:rsidRPr="003E0EEC">
        <w:t>: Gastrointestinal Motility and Functional Disorders in Children. New York, NY: Humana Press; 2013:331–</w:t>
      </w:r>
      <w:proofErr w:type="gramStart"/>
      <w:r w:rsidRPr="003E0EEC">
        <w:t>346 .</w:t>
      </w:r>
      <w:proofErr w:type="gramEnd"/>
    </w:p>
    <w:p w:rsidR="003E0EEC" w:rsidRDefault="003E0EEC" w:rsidP="00A379EA"/>
    <w:p w:rsidR="00852F58" w:rsidRPr="003E0EEC" w:rsidRDefault="00852F58" w:rsidP="00852F58">
      <w:pPr>
        <w:rPr>
          <w:b/>
          <w:u w:val="single"/>
        </w:rPr>
      </w:pPr>
      <w:r>
        <w:rPr>
          <w:b/>
          <w:u w:val="single"/>
        </w:rPr>
        <w:t>Question 4</w:t>
      </w:r>
    </w:p>
    <w:p w:rsidR="00852F58" w:rsidRPr="00852F58" w:rsidRDefault="00852F58" w:rsidP="00852F58">
      <w:r w:rsidRPr="00852F58">
        <w:t xml:space="preserve">The boy in the vignette lives with his family in an old farmhouse on a farm that is supplied by well </w:t>
      </w:r>
      <w:proofErr w:type="spellStart"/>
      <w:r w:rsidRPr="00852F58">
        <w:t>water.The</w:t>
      </w:r>
      <w:proofErr w:type="spellEnd"/>
      <w:r w:rsidRPr="00852F58">
        <w:t xml:space="preserve"> most accurate information to provide his parents about minimizing exposure of their children to environmental toxins is that the 13-month-old boy’s risk of ingesting lead dust in their home environment is higher than the risk faced by his older siblings. This is because the developmentally normal exploratory behaviors at his age (frequent oral exploratory and hand-to-mouth behaviors), his higher respiratory rate, and his closer physical proximity to the ground and contaminated surfaces (</w:t>
      </w:r>
      <w:proofErr w:type="spellStart"/>
      <w:r w:rsidRPr="00852F58">
        <w:t>eg</w:t>
      </w:r>
      <w:proofErr w:type="spellEnd"/>
      <w:r w:rsidRPr="00852F58">
        <w:t>, window sills) place him at higher risk for exposure to lead dust than older children.</w:t>
      </w:r>
    </w:p>
    <w:p w:rsidR="00852F58" w:rsidRPr="00852F58" w:rsidRDefault="00852F58" w:rsidP="00852F58">
      <w:r w:rsidRPr="00852F58">
        <w:t>Pediatric health care providers should know the age- and developmentally specific effects of exposure to a toxic substance in the environment, as well as how to obtain an appropriate exposure history. Children may be exposed to various environmental toxins on a daily basis in air, food, dust, soil, and on surfaces in their home, school, play, and occupational environments. The field of pediatric environmental health is an emerging and rapidly evolving one, with a growing body of literature that is helping to shed light on the effects of various environmental toxins on human health.</w:t>
      </w:r>
    </w:p>
    <w:p w:rsidR="00852F58" w:rsidRPr="00852F58" w:rsidRDefault="00852F58" w:rsidP="00852F58">
      <w:r w:rsidRPr="00852F58">
        <w:t xml:space="preserve">According to the World Health Organization, nearly a third of the global burden of disease in children is due to environmental factors. Children have both increased exposure and increased physiologic vulnerability to environmental toxins. Physiologically, children differ from adults in organ system functioning, metabolic capabilities, physical size, and developmental abilities/behaviors. They are particularly susceptible to adverse outcomes from toxic exposures, given their rapid growth and </w:t>
      </w:r>
      <w:r w:rsidRPr="00852F58">
        <w:lastRenderedPageBreak/>
        <w:t>development. Research focusing on the impact of children’s unique characteristics on the harm caused to them by environmental toxins is ongoing.</w:t>
      </w:r>
    </w:p>
    <w:p w:rsidR="00852F58" w:rsidRPr="00852F58" w:rsidRDefault="00852F58" w:rsidP="00852F58">
      <w:r w:rsidRPr="00852F58">
        <w:t>A free resource available to pediatric providers about the effects of environmental toxins on children is the Pediatric Environmental Health Specialty Units (PEHSU) National Classroom, a national resource endorsed by the American Academy of Pediatrics. This resource can be accessed online at </w:t>
      </w:r>
      <w:hyperlink r:id="rId15" w:tgtFrame="_blank" w:history="1">
        <w:r w:rsidRPr="00852F58">
          <w:rPr>
            <w:rStyle w:val="Hyperlink"/>
          </w:rPr>
          <w:t>http://www.pehsu.net</w:t>
        </w:r>
      </w:hyperlink>
      <w:r w:rsidRPr="00852F58">
        <w:t>. In addition, the US Department of Health and Human Services Agency for Toxic Substances and Disease Registry has developed an educational module on obtaining a pediatric environmental exposure history, which is available at </w:t>
      </w:r>
      <w:hyperlink r:id="rId16" w:tgtFrame="_blank" w:history="1">
        <w:r w:rsidRPr="00852F58">
          <w:rPr>
            <w:rStyle w:val="Hyperlink"/>
          </w:rPr>
          <w:t>http://www.atsdr.cdc.gov/csem/pediatric_history/docs/pediatric_history.pdf</w:t>
        </w:r>
      </w:hyperlink>
      <w:r w:rsidRPr="00852F58">
        <w:t>.</w:t>
      </w:r>
    </w:p>
    <w:p w:rsidR="00852F58" w:rsidRPr="00852F58" w:rsidRDefault="00852F58" w:rsidP="00852F58">
      <w:r w:rsidRPr="00852F58">
        <w:t>Advising this boy’s parents to boil all well water consumed by their children to reduce exposure to both lead and nitrates would not be appropriate. In fact, both lead and nitrates become </w:t>
      </w:r>
      <w:r w:rsidRPr="00852F58">
        <w:rPr>
          <w:i/>
          <w:iCs/>
        </w:rPr>
        <w:t>more</w:t>
      </w:r>
      <w:r w:rsidRPr="00852F58">
        <w:t> concentrated in water that is boiled. In homes where there is a concern for contamination of water from lead pipes or lead pipe joints, families should be advised to discard “first-draw” water that has stood overnight in pipes (or to use it for a purpose other than drinking/cooking).</w:t>
      </w:r>
    </w:p>
    <w:p w:rsidR="00852F58" w:rsidRPr="00852F58" w:rsidRDefault="00852F58" w:rsidP="00852F58">
      <w:r w:rsidRPr="00852F58">
        <w:t>The boy’s mother should not be advised to discontinue breastfeeding to reduce his risk of exposure to pesticides. Breastfeeding is encouraged as the optimal form of nutrition for infants by the American Academy of Pediatrics and the World Health Organization. Although certain lipophilic chemicals can be transmitted through breast milk and result in exposure to nursing infants, instances of harm occurring from chemicals transmitted through breast milk are very rare. The many benefits conferred by breastfeeding, such as enhanced immune function and growth factors that enhance brain development, generally outweigh the risks of exposure to environmental toxins through breast milk.</w:t>
      </w:r>
    </w:p>
    <w:p w:rsidR="00852F58" w:rsidRPr="00852F58" w:rsidRDefault="00852F58" w:rsidP="00852F58">
      <w:r w:rsidRPr="00852F58">
        <w:t>The boy’s risk of developing asthma after exposure to air contaminants on the farm is likely higher than the risk of asthma development in his older siblings. Younger children have higher respiratory rates, resulting in higher weight-adjusted exposure to air contaminants. Furthermore, there is evidence that respiratory exposure to air contaminants during the first years of life have a greater influence on the incidence and severity of asthma compared with exposure later in life.</w:t>
      </w:r>
    </w:p>
    <w:p w:rsidR="00852F58" w:rsidRPr="00852F58" w:rsidRDefault="00852F58" w:rsidP="00852F58">
      <w:r w:rsidRPr="00852F58">
        <w:t>The statement that the boy’s risk of exposure to foodborne pesticide residues is lower than that of his siblings because he consumes less food is incorrect. Young children have higher metabolic rates and generally consume a greater amount of food, water, and air per kilogram than older children. As a result, they have a greater exposure per kilogram of body weight to foodborne toxins. Furthermore, many young children have limited food preferences and may consume the same foods over relatively long periods.</w:t>
      </w:r>
    </w:p>
    <w:p w:rsidR="00852F58" w:rsidRPr="00852F58" w:rsidRDefault="00852F58" w:rsidP="00852F58">
      <w:pPr>
        <w:rPr>
          <w:b/>
          <w:bCs/>
          <w:u w:val="single"/>
        </w:rPr>
      </w:pPr>
      <w:r w:rsidRPr="00852F58">
        <w:rPr>
          <w:b/>
          <w:bCs/>
          <w:u w:val="single"/>
        </w:rPr>
        <w:t>PREP Pearls</w:t>
      </w:r>
    </w:p>
    <w:p w:rsidR="00852F58" w:rsidRPr="00852F58" w:rsidRDefault="00852F58" w:rsidP="00852F58">
      <w:pPr>
        <w:numPr>
          <w:ilvl w:val="0"/>
          <w:numId w:val="39"/>
        </w:numPr>
      </w:pPr>
      <w:r w:rsidRPr="00852F58">
        <w:t>Children are particularly susceptible to adverse outcomes from toxic exposures because of their rapid rate of growth and development.  </w:t>
      </w:r>
    </w:p>
    <w:p w:rsidR="00852F58" w:rsidRPr="00852F58" w:rsidRDefault="00852F58" w:rsidP="00852F58">
      <w:pPr>
        <w:numPr>
          <w:ilvl w:val="0"/>
          <w:numId w:val="40"/>
        </w:numPr>
      </w:pPr>
      <w:r w:rsidRPr="00852F58">
        <w:t>Children are at increased risk of harm from environmental toxins because of both increased exposure and increased physiologic vulnerability.</w:t>
      </w:r>
    </w:p>
    <w:p w:rsidR="00852F58" w:rsidRPr="00852F58" w:rsidRDefault="00852F58" w:rsidP="00852F58">
      <w:pPr>
        <w:numPr>
          <w:ilvl w:val="0"/>
          <w:numId w:val="41"/>
        </w:numPr>
      </w:pPr>
      <w:r w:rsidRPr="00852F58">
        <w:t>Young children have higher metabolic rates and generally consume a greater amount of food, water, and air per kilogram than older children.  This can result in greater exposure per kilogram of body weight to foodborne and airborne toxins.  </w:t>
      </w:r>
    </w:p>
    <w:p w:rsidR="00852F58" w:rsidRPr="00852F58" w:rsidRDefault="00852F58" w:rsidP="00852F58">
      <w:pPr>
        <w:rPr>
          <w:b/>
          <w:bCs/>
          <w:u w:val="single"/>
        </w:rPr>
      </w:pPr>
      <w:r w:rsidRPr="00852F58">
        <w:rPr>
          <w:b/>
          <w:bCs/>
          <w:u w:val="single"/>
        </w:rPr>
        <w:t>Suggested Readings</w:t>
      </w:r>
    </w:p>
    <w:p w:rsidR="00852F58" w:rsidRPr="00852F58" w:rsidRDefault="00852F58" w:rsidP="00852F58">
      <w:pPr>
        <w:numPr>
          <w:ilvl w:val="0"/>
          <w:numId w:val="44"/>
        </w:numPr>
      </w:pPr>
      <w:r w:rsidRPr="00852F58">
        <w:t>Etzel RA, Balk SJ, eds; The American Academy of Pediatrics Council on Environmental Health. </w:t>
      </w:r>
      <w:r w:rsidRPr="00852F58">
        <w:rPr>
          <w:i/>
          <w:iCs/>
        </w:rPr>
        <w:t>Handbook of Pediatric Environmental Health</w:t>
      </w:r>
      <w:r w:rsidRPr="00852F58">
        <w:t>. 3rd ed. Elk Grove Village, IL: American Academy of Pediatrics; 2011.</w:t>
      </w:r>
    </w:p>
    <w:p w:rsidR="00852F58" w:rsidRPr="00852F58" w:rsidRDefault="00852F58" w:rsidP="00852F58">
      <w:pPr>
        <w:numPr>
          <w:ilvl w:val="0"/>
          <w:numId w:val="44"/>
        </w:numPr>
      </w:pPr>
      <w:r w:rsidRPr="00852F58">
        <w:t>Pediatric Environmental Health Specialty Units.</w:t>
      </w:r>
      <w:hyperlink r:id="rId17" w:tgtFrame="_blank" w:history="1">
        <w:r w:rsidRPr="00852F58">
          <w:rPr>
            <w:rStyle w:val="Hyperlink"/>
          </w:rPr>
          <w:t> http://www.pehsu.net</w:t>
        </w:r>
      </w:hyperlink>
      <w:r w:rsidRPr="00852F58">
        <w:t>.  Accessed February 14, 2017.</w:t>
      </w:r>
    </w:p>
    <w:p w:rsidR="00852F58" w:rsidRPr="00852F58" w:rsidRDefault="00852F58" w:rsidP="00852F58">
      <w:pPr>
        <w:numPr>
          <w:ilvl w:val="0"/>
          <w:numId w:val="44"/>
        </w:numPr>
      </w:pPr>
      <w:r w:rsidRPr="00852F58">
        <w:lastRenderedPageBreak/>
        <w:t>US Health and Human Services Agency for Toxic Substances and Disease Registry. Environmental health and medical education: principles of pediatric environmental health. </w:t>
      </w:r>
      <w:hyperlink r:id="rId18" w:tgtFrame="_blank" w:history="1">
        <w:r w:rsidRPr="00852F58">
          <w:rPr>
            <w:rStyle w:val="Hyperlink"/>
          </w:rPr>
          <w:t>https://www.atsdr.cdc.gov/csem/csem.asp?csem=27&amp;po=0</w:t>
        </w:r>
      </w:hyperlink>
      <w:r w:rsidRPr="00852F58">
        <w:t>. Accessed April 24, 2016. .</w:t>
      </w:r>
    </w:p>
    <w:p w:rsidR="00852F58" w:rsidRPr="00852F58" w:rsidRDefault="00852F58" w:rsidP="00852F58">
      <w:pPr>
        <w:numPr>
          <w:ilvl w:val="0"/>
          <w:numId w:val="44"/>
        </w:numPr>
      </w:pPr>
      <w:r w:rsidRPr="00852F58">
        <w:t>US Health and Human Services Agency for Toxic Substances and Disease Registry. Pediatric environmental health toolkit. </w:t>
      </w:r>
      <w:hyperlink r:id="rId19" w:tgtFrame="_blank" w:history="1">
        <w:r w:rsidRPr="00852F58">
          <w:rPr>
            <w:rStyle w:val="Hyperlink"/>
          </w:rPr>
          <w:t>https://www.atsdr.cdc.gov/emes/training/index.html</w:t>
        </w:r>
      </w:hyperlink>
      <w:r w:rsidRPr="00852F58">
        <w:t xml:space="preserve">. Accessed April 24, </w:t>
      </w:r>
      <w:proofErr w:type="gramStart"/>
      <w:r w:rsidRPr="00852F58">
        <w:t>2016 .</w:t>
      </w:r>
      <w:proofErr w:type="gramEnd"/>
    </w:p>
    <w:p w:rsidR="00852F58" w:rsidRPr="00852F58" w:rsidRDefault="00852F58" w:rsidP="00852F58">
      <w:pPr>
        <w:numPr>
          <w:ilvl w:val="0"/>
          <w:numId w:val="44"/>
        </w:numPr>
      </w:pPr>
      <w:r w:rsidRPr="00852F58">
        <w:t>World Health Organization. Principles for evaluating health risks in children associated with exposure to chemicals. Environmental health criteria 237. </w:t>
      </w:r>
      <w:hyperlink r:id="rId20" w:tgtFrame="_blank" w:history="1">
        <w:r w:rsidRPr="00852F58">
          <w:rPr>
            <w:rStyle w:val="Hyperlink"/>
          </w:rPr>
          <w:t>http://whqlibdoc.who.int/publications/2006/924157237X_eng.pdf</w:t>
        </w:r>
      </w:hyperlink>
      <w:r w:rsidRPr="00852F58">
        <w:t>. Accessed April 23, 2016.</w:t>
      </w:r>
    </w:p>
    <w:p w:rsidR="00852F58" w:rsidRDefault="00852F58" w:rsidP="00A379EA"/>
    <w:sectPr w:rsidR="00852F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C64FE"/>
    <w:multiLevelType w:val="multilevel"/>
    <w:tmpl w:val="7180D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E7DF2"/>
    <w:multiLevelType w:val="multilevel"/>
    <w:tmpl w:val="1AA8D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90C56"/>
    <w:multiLevelType w:val="multilevel"/>
    <w:tmpl w:val="E072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103E4"/>
    <w:multiLevelType w:val="multilevel"/>
    <w:tmpl w:val="E4D6A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9F6FA9"/>
    <w:multiLevelType w:val="multilevel"/>
    <w:tmpl w:val="D7880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A40597"/>
    <w:multiLevelType w:val="multilevel"/>
    <w:tmpl w:val="5ABE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D078A9"/>
    <w:multiLevelType w:val="multilevel"/>
    <w:tmpl w:val="8E4C9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EE5CAF"/>
    <w:multiLevelType w:val="multilevel"/>
    <w:tmpl w:val="BE0EA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8D37FB"/>
    <w:multiLevelType w:val="multilevel"/>
    <w:tmpl w:val="B742F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E3586E"/>
    <w:multiLevelType w:val="multilevel"/>
    <w:tmpl w:val="8250A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260C51"/>
    <w:multiLevelType w:val="multilevel"/>
    <w:tmpl w:val="68865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5B526A"/>
    <w:multiLevelType w:val="multilevel"/>
    <w:tmpl w:val="F9108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607D89"/>
    <w:multiLevelType w:val="multilevel"/>
    <w:tmpl w:val="8B64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535523"/>
    <w:multiLevelType w:val="multilevel"/>
    <w:tmpl w:val="DC9AB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CB618B"/>
    <w:multiLevelType w:val="multilevel"/>
    <w:tmpl w:val="D20A7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C22E62"/>
    <w:multiLevelType w:val="hybridMultilevel"/>
    <w:tmpl w:val="9DFC61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EB4D90"/>
    <w:multiLevelType w:val="multilevel"/>
    <w:tmpl w:val="87F8C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FE4554"/>
    <w:multiLevelType w:val="hybridMultilevel"/>
    <w:tmpl w:val="9FFAA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867E90"/>
    <w:multiLevelType w:val="multilevel"/>
    <w:tmpl w:val="609CB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8C1F29"/>
    <w:multiLevelType w:val="multilevel"/>
    <w:tmpl w:val="50CE8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2A623B"/>
    <w:multiLevelType w:val="multilevel"/>
    <w:tmpl w:val="78420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A45DA2"/>
    <w:multiLevelType w:val="multilevel"/>
    <w:tmpl w:val="9F90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6948B9"/>
    <w:multiLevelType w:val="multilevel"/>
    <w:tmpl w:val="6A06D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4E6DE6"/>
    <w:multiLevelType w:val="multilevel"/>
    <w:tmpl w:val="B422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E0309F"/>
    <w:multiLevelType w:val="multilevel"/>
    <w:tmpl w:val="FCFE4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C44EAF"/>
    <w:multiLevelType w:val="multilevel"/>
    <w:tmpl w:val="9E523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1B71AB"/>
    <w:multiLevelType w:val="multilevel"/>
    <w:tmpl w:val="E9AA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E747C6"/>
    <w:multiLevelType w:val="multilevel"/>
    <w:tmpl w:val="69CAC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F41602"/>
    <w:multiLevelType w:val="multilevel"/>
    <w:tmpl w:val="DE7CC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6978E8"/>
    <w:multiLevelType w:val="multilevel"/>
    <w:tmpl w:val="5E76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434355"/>
    <w:multiLevelType w:val="multilevel"/>
    <w:tmpl w:val="ADD8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9713FE"/>
    <w:multiLevelType w:val="multilevel"/>
    <w:tmpl w:val="73867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EF2A63"/>
    <w:multiLevelType w:val="multilevel"/>
    <w:tmpl w:val="B9A21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EF272F"/>
    <w:multiLevelType w:val="multilevel"/>
    <w:tmpl w:val="CD92D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830C7B"/>
    <w:multiLevelType w:val="multilevel"/>
    <w:tmpl w:val="D7A6A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AD379A"/>
    <w:multiLevelType w:val="multilevel"/>
    <w:tmpl w:val="9230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E060FA"/>
    <w:multiLevelType w:val="multilevel"/>
    <w:tmpl w:val="389E9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3A7955"/>
    <w:multiLevelType w:val="multilevel"/>
    <w:tmpl w:val="FDEA8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3F52B6"/>
    <w:multiLevelType w:val="multilevel"/>
    <w:tmpl w:val="D2F0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904A87"/>
    <w:multiLevelType w:val="multilevel"/>
    <w:tmpl w:val="CC5C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51434D"/>
    <w:multiLevelType w:val="multilevel"/>
    <w:tmpl w:val="5D6ED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D8416D"/>
    <w:multiLevelType w:val="multilevel"/>
    <w:tmpl w:val="4A622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4D699B"/>
    <w:multiLevelType w:val="multilevel"/>
    <w:tmpl w:val="53B83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B466E3"/>
    <w:multiLevelType w:val="multilevel"/>
    <w:tmpl w:val="DC4E4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5"/>
  </w:num>
  <w:num w:numId="3">
    <w:abstractNumId w:val="1"/>
  </w:num>
  <w:num w:numId="4">
    <w:abstractNumId w:val="8"/>
  </w:num>
  <w:num w:numId="5">
    <w:abstractNumId w:val="5"/>
  </w:num>
  <w:num w:numId="6">
    <w:abstractNumId w:val="3"/>
  </w:num>
  <w:num w:numId="7">
    <w:abstractNumId w:val="9"/>
  </w:num>
  <w:num w:numId="8">
    <w:abstractNumId w:val="7"/>
  </w:num>
  <w:num w:numId="9">
    <w:abstractNumId w:val="32"/>
  </w:num>
  <w:num w:numId="10">
    <w:abstractNumId w:val="41"/>
  </w:num>
  <w:num w:numId="11">
    <w:abstractNumId w:val="0"/>
  </w:num>
  <w:num w:numId="12">
    <w:abstractNumId w:val="36"/>
  </w:num>
  <w:num w:numId="13">
    <w:abstractNumId w:val="31"/>
  </w:num>
  <w:num w:numId="14">
    <w:abstractNumId w:val="28"/>
  </w:num>
  <w:num w:numId="15">
    <w:abstractNumId w:val="10"/>
  </w:num>
  <w:num w:numId="16">
    <w:abstractNumId w:val="24"/>
  </w:num>
  <w:num w:numId="17">
    <w:abstractNumId w:val="14"/>
  </w:num>
  <w:num w:numId="18">
    <w:abstractNumId w:val="11"/>
  </w:num>
  <w:num w:numId="19">
    <w:abstractNumId w:val="35"/>
  </w:num>
  <w:num w:numId="20">
    <w:abstractNumId w:val="2"/>
  </w:num>
  <w:num w:numId="21">
    <w:abstractNumId w:val="13"/>
  </w:num>
  <w:num w:numId="22">
    <w:abstractNumId w:val="16"/>
  </w:num>
  <w:num w:numId="23">
    <w:abstractNumId w:val="23"/>
  </w:num>
  <w:num w:numId="24">
    <w:abstractNumId w:val="19"/>
  </w:num>
  <w:num w:numId="25">
    <w:abstractNumId w:val="40"/>
  </w:num>
  <w:num w:numId="26">
    <w:abstractNumId w:val="29"/>
  </w:num>
  <w:num w:numId="27">
    <w:abstractNumId w:val="42"/>
  </w:num>
  <w:num w:numId="28">
    <w:abstractNumId w:val="22"/>
  </w:num>
  <w:num w:numId="29">
    <w:abstractNumId w:val="12"/>
  </w:num>
  <w:num w:numId="30">
    <w:abstractNumId w:val="27"/>
  </w:num>
  <w:num w:numId="31">
    <w:abstractNumId w:val="20"/>
  </w:num>
  <w:num w:numId="32">
    <w:abstractNumId w:val="26"/>
  </w:num>
  <w:num w:numId="33">
    <w:abstractNumId w:val="33"/>
  </w:num>
  <w:num w:numId="34">
    <w:abstractNumId w:val="39"/>
  </w:num>
  <w:num w:numId="35">
    <w:abstractNumId w:val="30"/>
  </w:num>
  <w:num w:numId="36">
    <w:abstractNumId w:val="37"/>
  </w:num>
  <w:num w:numId="37">
    <w:abstractNumId w:val="25"/>
  </w:num>
  <w:num w:numId="38">
    <w:abstractNumId w:val="43"/>
  </w:num>
  <w:num w:numId="39">
    <w:abstractNumId w:val="4"/>
  </w:num>
  <w:num w:numId="40">
    <w:abstractNumId w:val="18"/>
  </w:num>
  <w:num w:numId="41">
    <w:abstractNumId w:val="21"/>
  </w:num>
  <w:num w:numId="42">
    <w:abstractNumId w:val="38"/>
  </w:num>
  <w:num w:numId="43">
    <w:abstractNumId w:val="34"/>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9EA"/>
    <w:rsid w:val="0009650D"/>
    <w:rsid w:val="00165CCB"/>
    <w:rsid w:val="002A3BCA"/>
    <w:rsid w:val="003E0EEC"/>
    <w:rsid w:val="00664C70"/>
    <w:rsid w:val="00777CA9"/>
    <w:rsid w:val="00852F58"/>
    <w:rsid w:val="0091425F"/>
    <w:rsid w:val="00A379EA"/>
    <w:rsid w:val="00D81E6D"/>
    <w:rsid w:val="00E4326A"/>
    <w:rsid w:val="00EB6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A40D3B-AE0F-49A5-860C-727CF81D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79EA"/>
    <w:rPr>
      <w:rFonts w:ascii="Tahoma" w:hAnsi="Tahoma" w:cs="Tahoma"/>
      <w:sz w:val="16"/>
      <w:szCs w:val="16"/>
    </w:rPr>
  </w:style>
  <w:style w:type="character" w:customStyle="1" w:styleId="BalloonTextChar">
    <w:name w:val="Balloon Text Char"/>
    <w:basedOn w:val="DefaultParagraphFont"/>
    <w:link w:val="BalloonText"/>
    <w:uiPriority w:val="99"/>
    <w:semiHidden/>
    <w:rsid w:val="00A379EA"/>
    <w:rPr>
      <w:rFonts w:ascii="Tahoma" w:hAnsi="Tahoma" w:cs="Tahoma"/>
      <w:sz w:val="16"/>
      <w:szCs w:val="16"/>
    </w:rPr>
  </w:style>
  <w:style w:type="paragraph" w:styleId="ListParagraph">
    <w:name w:val="List Paragraph"/>
    <w:basedOn w:val="Normal"/>
    <w:uiPriority w:val="34"/>
    <w:qFormat/>
    <w:rsid w:val="00A379EA"/>
    <w:pPr>
      <w:ind w:left="720"/>
      <w:contextualSpacing/>
    </w:pPr>
  </w:style>
  <w:style w:type="character" w:styleId="Hyperlink">
    <w:name w:val="Hyperlink"/>
    <w:basedOn w:val="DefaultParagraphFont"/>
    <w:uiPriority w:val="99"/>
    <w:unhideWhenUsed/>
    <w:rsid w:val="00A379EA"/>
    <w:rPr>
      <w:color w:val="0000FF" w:themeColor="hyperlink"/>
      <w:u w:val="single"/>
    </w:rPr>
  </w:style>
  <w:style w:type="paragraph" w:styleId="z-TopofForm">
    <w:name w:val="HTML Top of Form"/>
    <w:basedOn w:val="Normal"/>
    <w:next w:val="Normal"/>
    <w:link w:val="z-TopofFormChar"/>
    <w:hidden/>
    <w:uiPriority w:val="99"/>
    <w:semiHidden/>
    <w:unhideWhenUsed/>
    <w:rsid w:val="00777CA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77CA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77CA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77CA9"/>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02062">
      <w:bodyDiv w:val="1"/>
      <w:marLeft w:val="0"/>
      <w:marRight w:val="0"/>
      <w:marTop w:val="0"/>
      <w:marBottom w:val="0"/>
      <w:divBdr>
        <w:top w:val="none" w:sz="0" w:space="0" w:color="auto"/>
        <w:left w:val="none" w:sz="0" w:space="0" w:color="auto"/>
        <w:bottom w:val="none" w:sz="0" w:space="0" w:color="auto"/>
        <w:right w:val="none" w:sz="0" w:space="0" w:color="auto"/>
      </w:divBdr>
      <w:divsChild>
        <w:div w:id="928270390">
          <w:marLeft w:val="0"/>
          <w:marRight w:val="0"/>
          <w:marTop w:val="0"/>
          <w:marBottom w:val="225"/>
          <w:divBdr>
            <w:top w:val="none" w:sz="0" w:space="0" w:color="auto"/>
            <w:left w:val="none" w:sz="0" w:space="0" w:color="auto"/>
            <w:bottom w:val="none" w:sz="0" w:space="0" w:color="auto"/>
            <w:right w:val="none" w:sz="0" w:space="0" w:color="auto"/>
          </w:divBdr>
        </w:div>
        <w:div w:id="1429539491">
          <w:marLeft w:val="0"/>
          <w:marRight w:val="0"/>
          <w:marTop w:val="0"/>
          <w:marBottom w:val="225"/>
          <w:divBdr>
            <w:top w:val="none" w:sz="0" w:space="0" w:color="auto"/>
            <w:left w:val="none" w:sz="0" w:space="0" w:color="auto"/>
            <w:bottom w:val="none" w:sz="0" w:space="0" w:color="auto"/>
            <w:right w:val="none" w:sz="0" w:space="0" w:color="auto"/>
          </w:divBdr>
        </w:div>
      </w:divsChild>
    </w:div>
    <w:div w:id="25713290">
      <w:bodyDiv w:val="1"/>
      <w:marLeft w:val="0"/>
      <w:marRight w:val="0"/>
      <w:marTop w:val="0"/>
      <w:marBottom w:val="0"/>
      <w:divBdr>
        <w:top w:val="none" w:sz="0" w:space="0" w:color="auto"/>
        <w:left w:val="none" w:sz="0" w:space="0" w:color="auto"/>
        <w:bottom w:val="none" w:sz="0" w:space="0" w:color="auto"/>
        <w:right w:val="none" w:sz="0" w:space="0" w:color="auto"/>
      </w:divBdr>
    </w:div>
    <w:div w:id="50926947">
      <w:bodyDiv w:val="1"/>
      <w:marLeft w:val="0"/>
      <w:marRight w:val="0"/>
      <w:marTop w:val="0"/>
      <w:marBottom w:val="0"/>
      <w:divBdr>
        <w:top w:val="none" w:sz="0" w:space="0" w:color="auto"/>
        <w:left w:val="none" w:sz="0" w:space="0" w:color="auto"/>
        <w:bottom w:val="none" w:sz="0" w:space="0" w:color="auto"/>
        <w:right w:val="none" w:sz="0" w:space="0" w:color="auto"/>
      </w:divBdr>
      <w:divsChild>
        <w:div w:id="151603383">
          <w:marLeft w:val="0"/>
          <w:marRight w:val="0"/>
          <w:marTop w:val="0"/>
          <w:marBottom w:val="225"/>
          <w:divBdr>
            <w:top w:val="none" w:sz="0" w:space="0" w:color="auto"/>
            <w:left w:val="none" w:sz="0" w:space="0" w:color="auto"/>
            <w:bottom w:val="none" w:sz="0" w:space="0" w:color="auto"/>
            <w:right w:val="none" w:sz="0" w:space="0" w:color="auto"/>
          </w:divBdr>
        </w:div>
        <w:div w:id="2086879805">
          <w:marLeft w:val="0"/>
          <w:marRight w:val="0"/>
          <w:marTop w:val="0"/>
          <w:marBottom w:val="225"/>
          <w:divBdr>
            <w:top w:val="none" w:sz="0" w:space="0" w:color="auto"/>
            <w:left w:val="none" w:sz="0" w:space="0" w:color="auto"/>
            <w:bottom w:val="none" w:sz="0" w:space="0" w:color="auto"/>
            <w:right w:val="none" w:sz="0" w:space="0" w:color="auto"/>
          </w:divBdr>
        </w:div>
        <w:div w:id="1611427105">
          <w:marLeft w:val="0"/>
          <w:marRight w:val="0"/>
          <w:marTop w:val="0"/>
          <w:marBottom w:val="225"/>
          <w:divBdr>
            <w:top w:val="none" w:sz="0" w:space="0" w:color="auto"/>
            <w:left w:val="none" w:sz="0" w:space="0" w:color="auto"/>
            <w:bottom w:val="none" w:sz="0" w:space="0" w:color="auto"/>
            <w:right w:val="none" w:sz="0" w:space="0" w:color="auto"/>
          </w:divBdr>
        </w:div>
      </w:divsChild>
    </w:div>
    <w:div w:id="165830880">
      <w:bodyDiv w:val="1"/>
      <w:marLeft w:val="0"/>
      <w:marRight w:val="0"/>
      <w:marTop w:val="0"/>
      <w:marBottom w:val="0"/>
      <w:divBdr>
        <w:top w:val="none" w:sz="0" w:space="0" w:color="auto"/>
        <w:left w:val="none" w:sz="0" w:space="0" w:color="auto"/>
        <w:bottom w:val="none" w:sz="0" w:space="0" w:color="auto"/>
        <w:right w:val="none" w:sz="0" w:space="0" w:color="auto"/>
      </w:divBdr>
      <w:divsChild>
        <w:div w:id="2034263445">
          <w:marLeft w:val="0"/>
          <w:marRight w:val="0"/>
          <w:marTop w:val="0"/>
          <w:marBottom w:val="0"/>
          <w:divBdr>
            <w:top w:val="none" w:sz="0" w:space="0" w:color="auto"/>
            <w:left w:val="none" w:sz="0" w:space="0" w:color="auto"/>
            <w:bottom w:val="none" w:sz="0" w:space="0" w:color="auto"/>
            <w:right w:val="none" w:sz="0" w:space="0" w:color="auto"/>
          </w:divBdr>
        </w:div>
        <w:div w:id="1802841131">
          <w:marLeft w:val="0"/>
          <w:marRight w:val="0"/>
          <w:marTop w:val="480"/>
          <w:marBottom w:val="480"/>
          <w:divBdr>
            <w:top w:val="none" w:sz="0" w:space="0" w:color="auto"/>
            <w:left w:val="none" w:sz="0" w:space="0" w:color="auto"/>
            <w:bottom w:val="none" w:sz="0" w:space="0" w:color="auto"/>
            <w:right w:val="none" w:sz="0" w:space="0" w:color="auto"/>
          </w:divBdr>
        </w:div>
      </w:divsChild>
    </w:div>
    <w:div w:id="261770046">
      <w:bodyDiv w:val="1"/>
      <w:marLeft w:val="0"/>
      <w:marRight w:val="0"/>
      <w:marTop w:val="0"/>
      <w:marBottom w:val="0"/>
      <w:divBdr>
        <w:top w:val="none" w:sz="0" w:space="0" w:color="auto"/>
        <w:left w:val="none" w:sz="0" w:space="0" w:color="auto"/>
        <w:bottom w:val="none" w:sz="0" w:space="0" w:color="auto"/>
        <w:right w:val="none" w:sz="0" w:space="0" w:color="auto"/>
      </w:divBdr>
    </w:div>
    <w:div w:id="409893970">
      <w:bodyDiv w:val="1"/>
      <w:marLeft w:val="0"/>
      <w:marRight w:val="0"/>
      <w:marTop w:val="0"/>
      <w:marBottom w:val="0"/>
      <w:divBdr>
        <w:top w:val="none" w:sz="0" w:space="0" w:color="auto"/>
        <w:left w:val="none" w:sz="0" w:space="0" w:color="auto"/>
        <w:bottom w:val="none" w:sz="0" w:space="0" w:color="auto"/>
        <w:right w:val="none" w:sz="0" w:space="0" w:color="auto"/>
      </w:divBdr>
      <w:divsChild>
        <w:div w:id="1627084926">
          <w:marLeft w:val="0"/>
          <w:marRight w:val="0"/>
          <w:marTop w:val="0"/>
          <w:marBottom w:val="0"/>
          <w:divBdr>
            <w:top w:val="none" w:sz="0" w:space="0" w:color="auto"/>
            <w:left w:val="none" w:sz="0" w:space="0" w:color="auto"/>
            <w:bottom w:val="none" w:sz="0" w:space="0" w:color="auto"/>
            <w:right w:val="none" w:sz="0" w:space="0" w:color="auto"/>
          </w:divBdr>
        </w:div>
        <w:div w:id="2012877382">
          <w:marLeft w:val="0"/>
          <w:marRight w:val="0"/>
          <w:marTop w:val="480"/>
          <w:marBottom w:val="480"/>
          <w:divBdr>
            <w:top w:val="none" w:sz="0" w:space="0" w:color="auto"/>
            <w:left w:val="none" w:sz="0" w:space="0" w:color="auto"/>
            <w:bottom w:val="none" w:sz="0" w:space="0" w:color="auto"/>
            <w:right w:val="none" w:sz="0" w:space="0" w:color="auto"/>
          </w:divBdr>
        </w:div>
      </w:divsChild>
    </w:div>
    <w:div w:id="419067599">
      <w:bodyDiv w:val="1"/>
      <w:marLeft w:val="0"/>
      <w:marRight w:val="0"/>
      <w:marTop w:val="0"/>
      <w:marBottom w:val="0"/>
      <w:divBdr>
        <w:top w:val="none" w:sz="0" w:space="0" w:color="auto"/>
        <w:left w:val="none" w:sz="0" w:space="0" w:color="auto"/>
        <w:bottom w:val="none" w:sz="0" w:space="0" w:color="auto"/>
        <w:right w:val="none" w:sz="0" w:space="0" w:color="auto"/>
      </w:divBdr>
      <w:divsChild>
        <w:div w:id="68499064">
          <w:marLeft w:val="0"/>
          <w:marRight w:val="0"/>
          <w:marTop w:val="0"/>
          <w:marBottom w:val="0"/>
          <w:divBdr>
            <w:top w:val="none" w:sz="0" w:space="0" w:color="auto"/>
            <w:left w:val="none" w:sz="0" w:space="0" w:color="auto"/>
            <w:bottom w:val="none" w:sz="0" w:space="0" w:color="auto"/>
            <w:right w:val="none" w:sz="0" w:space="0" w:color="auto"/>
          </w:divBdr>
        </w:div>
        <w:div w:id="787546236">
          <w:marLeft w:val="0"/>
          <w:marRight w:val="0"/>
          <w:marTop w:val="480"/>
          <w:marBottom w:val="480"/>
          <w:divBdr>
            <w:top w:val="none" w:sz="0" w:space="0" w:color="auto"/>
            <w:left w:val="none" w:sz="0" w:space="0" w:color="auto"/>
            <w:bottom w:val="none" w:sz="0" w:space="0" w:color="auto"/>
            <w:right w:val="none" w:sz="0" w:space="0" w:color="auto"/>
          </w:divBdr>
        </w:div>
      </w:divsChild>
    </w:div>
    <w:div w:id="562834872">
      <w:bodyDiv w:val="1"/>
      <w:marLeft w:val="0"/>
      <w:marRight w:val="0"/>
      <w:marTop w:val="0"/>
      <w:marBottom w:val="0"/>
      <w:divBdr>
        <w:top w:val="none" w:sz="0" w:space="0" w:color="auto"/>
        <w:left w:val="none" w:sz="0" w:space="0" w:color="auto"/>
        <w:bottom w:val="none" w:sz="0" w:space="0" w:color="auto"/>
        <w:right w:val="none" w:sz="0" w:space="0" w:color="auto"/>
      </w:divBdr>
      <w:divsChild>
        <w:div w:id="759987031">
          <w:marLeft w:val="0"/>
          <w:marRight w:val="0"/>
          <w:marTop w:val="0"/>
          <w:marBottom w:val="225"/>
          <w:divBdr>
            <w:top w:val="none" w:sz="0" w:space="0" w:color="auto"/>
            <w:left w:val="none" w:sz="0" w:space="0" w:color="auto"/>
            <w:bottom w:val="none" w:sz="0" w:space="0" w:color="auto"/>
            <w:right w:val="none" w:sz="0" w:space="0" w:color="auto"/>
          </w:divBdr>
        </w:div>
        <w:div w:id="1199860104">
          <w:marLeft w:val="0"/>
          <w:marRight w:val="0"/>
          <w:marTop w:val="0"/>
          <w:marBottom w:val="225"/>
          <w:divBdr>
            <w:top w:val="none" w:sz="0" w:space="0" w:color="auto"/>
            <w:left w:val="none" w:sz="0" w:space="0" w:color="auto"/>
            <w:bottom w:val="none" w:sz="0" w:space="0" w:color="auto"/>
            <w:right w:val="none" w:sz="0" w:space="0" w:color="auto"/>
          </w:divBdr>
        </w:div>
      </w:divsChild>
    </w:div>
    <w:div w:id="641427359">
      <w:bodyDiv w:val="1"/>
      <w:marLeft w:val="0"/>
      <w:marRight w:val="0"/>
      <w:marTop w:val="0"/>
      <w:marBottom w:val="0"/>
      <w:divBdr>
        <w:top w:val="none" w:sz="0" w:space="0" w:color="auto"/>
        <w:left w:val="none" w:sz="0" w:space="0" w:color="auto"/>
        <w:bottom w:val="none" w:sz="0" w:space="0" w:color="auto"/>
        <w:right w:val="none" w:sz="0" w:space="0" w:color="auto"/>
      </w:divBdr>
      <w:divsChild>
        <w:div w:id="2017416760">
          <w:marLeft w:val="0"/>
          <w:marRight w:val="0"/>
          <w:marTop w:val="0"/>
          <w:marBottom w:val="225"/>
          <w:divBdr>
            <w:top w:val="none" w:sz="0" w:space="0" w:color="auto"/>
            <w:left w:val="none" w:sz="0" w:space="0" w:color="auto"/>
            <w:bottom w:val="none" w:sz="0" w:space="0" w:color="auto"/>
            <w:right w:val="none" w:sz="0" w:space="0" w:color="auto"/>
          </w:divBdr>
        </w:div>
        <w:div w:id="414130413">
          <w:marLeft w:val="0"/>
          <w:marRight w:val="0"/>
          <w:marTop w:val="0"/>
          <w:marBottom w:val="225"/>
          <w:divBdr>
            <w:top w:val="none" w:sz="0" w:space="0" w:color="auto"/>
            <w:left w:val="none" w:sz="0" w:space="0" w:color="auto"/>
            <w:bottom w:val="none" w:sz="0" w:space="0" w:color="auto"/>
            <w:right w:val="none" w:sz="0" w:space="0" w:color="auto"/>
          </w:divBdr>
        </w:div>
      </w:divsChild>
    </w:div>
    <w:div w:id="678503962">
      <w:bodyDiv w:val="1"/>
      <w:marLeft w:val="0"/>
      <w:marRight w:val="0"/>
      <w:marTop w:val="0"/>
      <w:marBottom w:val="0"/>
      <w:divBdr>
        <w:top w:val="none" w:sz="0" w:space="0" w:color="auto"/>
        <w:left w:val="none" w:sz="0" w:space="0" w:color="auto"/>
        <w:bottom w:val="none" w:sz="0" w:space="0" w:color="auto"/>
        <w:right w:val="none" w:sz="0" w:space="0" w:color="auto"/>
      </w:divBdr>
    </w:div>
    <w:div w:id="687562276">
      <w:bodyDiv w:val="1"/>
      <w:marLeft w:val="0"/>
      <w:marRight w:val="0"/>
      <w:marTop w:val="0"/>
      <w:marBottom w:val="0"/>
      <w:divBdr>
        <w:top w:val="none" w:sz="0" w:space="0" w:color="auto"/>
        <w:left w:val="none" w:sz="0" w:space="0" w:color="auto"/>
        <w:bottom w:val="none" w:sz="0" w:space="0" w:color="auto"/>
        <w:right w:val="none" w:sz="0" w:space="0" w:color="auto"/>
      </w:divBdr>
      <w:divsChild>
        <w:div w:id="23095237">
          <w:marLeft w:val="0"/>
          <w:marRight w:val="0"/>
          <w:marTop w:val="0"/>
          <w:marBottom w:val="225"/>
          <w:divBdr>
            <w:top w:val="none" w:sz="0" w:space="0" w:color="auto"/>
            <w:left w:val="none" w:sz="0" w:space="0" w:color="auto"/>
            <w:bottom w:val="none" w:sz="0" w:space="0" w:color="auto"/>
            <w:right w:val="none" w:sz="0" w:space="0" w:color="auto"/>
          </w:divBdr>
        </w:div>
        <w:div w:id="1426682343">
          <w:marLeft w:val="0"/>
          <w:marRight w:val="0"/>
          <w:marTop w:val="0"/>
          <w:marBottom w:val="225"/>
          <w:divBdr>
            <w:top w:val="none" w:sz="0" w:space="0" w:color="auto"/>
            <w:left w:val="none" w:sz="0" w:space="0" w:color="auto"/>
            <w:bottom w:val="none" w:sz="0" w:space="0" w:color="auto"/>
            <w:right w:val="none" w:sz="0" w:space="0" w:color="auto"/>
          </w:divBdr>
        </w:div>
        <w:div w:id="475881965">
          <w:marLeft w:val="0"/>
          <w:marRight w:val="0"/>
          <w:marTop w:val="0"/>
          <w:marBottom w:val="225"/>
          <w:divBdr>
            <w:top w:val="none" w:sz="0" w:space="0" w:color="auto"/>
            <w:left w:val="none" w:sz="0" w:space="0" w:color="auto"/>
            <w:bottom w:val="none" w:sz="0" w:space="0" w:color="auto"/>
            <w:right w:val="none" w:sz="0" w:space="0" w:color="auto"/>
          </w:divBdr>
        </w:div>
      </w:divsChild>
    </w:div>
    <w:div w:id="757672838">
      <w:bodyDiv w:val="1"/>
      <w:marLeft w:val="0"/>
      <w:marRight w:val="0"/>
      <w:marTop w:val="0"/>
      <w:marBottom w:val="0"/>
      <w:divBdr>
        <w:top w:val="none" w:sz="0" w:space="0" w:color="auto"/>
        <w:left w:val="none" w:sz="0" w:space="0" w:color="auto"/>
        <w:bottom w:val="none" w:sz="0" w:space="0" w:color="auto"/>
        <w:right w:val="none" w:sz="0" w:space="0" w:color="auto"/>
      </w:divBdr>
      <w:divsChild>
        <w:div w:id="1493135099">
          <w:marLeft w:val="0"/>
          <w:marRight w:val="0"/>
          <w:marTop w:val="0"/>
          <w:marBottom w:val="0"/>
          <w:divBdr>
            <w:top w:val="none" w:sz="0" w:space="0" w:color="auto"/>
            <w:left w:val="none" w:sz="0" w:space="0" w:color="auto"/>
            <w:bottom w:val="none" w:sz="0" w:space="0" w:color="auto"/>
            <w:right w:val="none" w:sz="0" w:space="0" w:color="auto"/>
          </w:divBdr>
        </w:div>
        <w:div w:id="1287854623">
          <w:marLeft w:val="0"/>
          <w:marRight w:val="0"/>
          <w:marTop w:val="480"/>
          <w:marBottom w:val="480"/>
          <w:divBdr>
            <w:top w:val="none" w:sz="0" w:space="0" w:color="auto"/>
            <w:left w:val="none" w:sz="0" w:space="0" w:color="auto"/>
            <w:bottom w:val="none" w:sz="0" w:space="0" w:color="auto"/>
            <w:right w:val="none" w:sz="0" w:space="0" w:color="auto"/>
          </w:divBdr>
        </w:div>
      </w:divsChild>
    </w:div>
    <w:div w:id="1218131019">
      <w:bodyDiv w:val="1"/>
      <w:marLeft w:val="0"/>
      <w:marRight w:val="0"/>
      <w:marTop w:val="0"/>
      <w:marBottom w:val="0"/>
      <w:divBdr>
        <w:top w:val="none" w:sz="0" w:space="0" w:color="auto"/>
        <w:left w:val="none" w:sz="0" w:space="0" w:color="auto"/>
        <w:bottom w:val="none" w:sz="0" w:space="0" w:color="auto"/>
        <w:right w:val="none" w:sz="0" w:space="0" w:color="auto"/>
      </w:divBdr>
      <w:divsChild>
        <w:div w:id="2012371492">
          <w:marLeft w:val="0"/>
          <w:marRight w:val="0"/>
          <w:marTop w:val="0"/>
          <w:marBottom w:val="0"/>
          <w:divBdr>
            <w:top w:val="none" w:sz="0" w:space="0" w:color="auto"/>
            <w:left w:val="none" w:sz="0" w:space="0" w:color="auto"/>
            <w:bottom w:val="none" w:sz="0" w:space="0" w:color="auto"/>
            <w:right w:val="none" w:sz="0" w:space="0" w:color="auto"/>
          </w:divBdr>
        </w:div>
        <w:div w:id="1609701880">
          <w:marLeft w:val="0"/>
          <w:marRight w:val="0"/>
          <w:marTop w:val="480"/>
          <w:marBottom w:val="480"/>
          <w:divBdr>
            <w:top w:val="none" w:sz="0" w:space="0" w:color="auto"/>
            <w:left w:val="none" w:sz="0" w:space="0" w:color="auto"/>
            <w:bottom w:val="none" w:sz="0" w:space="0" w:color="auto"/>
            <w:right w:val="none" w:sz="0" w:space="0" w:color="auto"/>
          </w:divBdr>
        </w:div>
      </w:divsChild>
    </w:div>
    <w:div w:id="1261068155">
      <w:bodyDiv w:val="1"/>
      <w:marLeft w:val="0"/>
      <w:marRight w:val="0"/>
      <w:marTop w:val="0"/>
      <w:marBottom w:val="0"/>
      <w:divBdr>
        <w:top w:val="none" w:sz="0" w:space="0" w:color="auto"/>
        <w:left w:val="none" w:sz="0" w:space="0" w:color="auto"/>
        <w:bottom w:val="none" w:sz="0" w:space="0" w:color="auto"/>
        <w:right w:val="none" w:sz="0" w:space="0" w:color="auto"/>
      </w:divBdr>
      <w:divsChild>
        <w:div w:id="1018236289">
          <w:marLeft w:val="0"/>
          <w:marRight w:val="0"/>
          <w:marTop w:val="0"/>
          <w:marBottom w:val="225"/>
          <w:divBdr>
            <w:top w:val="none" w:sz="0" w:space="0" w:color="auto"/>
            <w:left w:val="none" w:sz="0" w:space="0" w:color="auto"/>
            <w:bottom w:val="none" w:sz="0" w:space="0" w:color="auto"/>
            <w:right w:val="none" w:sz="0" w:space="0" w:color="auto"/>
          </w:divBdr>
        </w:div>
        <w:div w:id="1262255878">
          <w:marLeft w:val="0"/>
          <w:marRight w:val="0"/>
          <w:marTop w:val="0"/>
          <w:marBottom w:val="225"/>
          <w:divBdr>
            <w:top w:val="none" w:sz="0" w:space="0" w:color="auto"/>
            <w:left w:val="none" w:sz="0" w:space="0" w:color="auto"/>
            <w:bottom w:val="none" w:sz="0" w:space="0" w:color="auto"/>
            <w:right w:val="none" w:sz="0" w:space="0" w:color="auto"/>
          </w:divBdr>
        </w:div>
        <w:div w:id="1177500851">
          <w:marLeft w:val="0"/>
          <w:marRight w:val="0"/>
          <w:marTop w:val="0"/>
          <w:marBottom w:val="225"/>
          <w:divBdr>
            <w:top w:val="none" w:sz="0" w:space="0" w:color="auto"/>
            <w:left w:val="none" w:sz="0" w:space="0" w:color="auto"/>
            <w:bottom w:val="none" w:sz="0" w:space="0" w:color="auto"/>
            <w:right w:val="none" w:sz="0" w:space="0" w:color="auto"/>
          </w:divBdr>
        </w:div>
      </w:divsChild>
    </w:div>
    <w:div w:id="1556962833">
      <w:bodyDiv w:val="1"/>
      <w:marLeft w:val="0"/>
      <w:marRight w:val="0"/>
      <w:marTop w:val="0"/>
      <w:marBottom w:val="0"/>
      <w:divBdr>
        <w:top w:val="none" w:sz="0" w:space="0" w:color="auto"/>
        <w:left w:val="none" w:sz="0" w:space="0" w:color="auto"/>
        <w:bottom w:val="none" w:sz="0" w:space="0" w:color="auto"/>
        <w:right w:val="none" w:sz="0" w:space="0" w:color="auto"/>
      </w:divBdr>
      <w:divsChild>
        <w:div w:id="661928884">
          <w:marLeft w:val="0"/>
          <w:marRight w:val="0"/>
          <w:marTop w:val="0"/>
          <w:marBottom w:val="225"/>
          <w:divBdr>
            <w:top w:val="none" w:sz="0" w:space="0" w:color="auto"/>
            <w:left w:val="none" w:sz="0" w:space="0" w:color="auto"/>
            <w:bottom w:val="none" w:sz="0" w:space="0" w:color="auto"/>
            <w:right w:val="none" w:sz="0" w:space="0" w:color="auto"/>
          </w:divBdr>
        </w:div>
        <w:div w:id="564294982">
          <w:marLeft w:val="0"/>
          <w:marRight w:val="0"/>
          <w:marTop w:val="0"/>
          <w:marBottom w:val="225"/>
          <w:divBdr>
            <w:top w:val="none" w:sz="0" w:space="0" w:color="auto"/>
            <w:left w:val="none" w:sz="0" w:space="0" w:color="auto"/>
            <w:bottom w:val="none" w:sz="0" w:space="0" w:color="auto"/>
            <w:right w:val="none" w:sz="0" w:space="0" w:color="auto"/>
          </w:divBdr>
        </w:div>
      </w:divsChild>
    </w:div>
    <w:div w:id="1641763924">
      <w:bodyDiv w:val="1"/>
      <w:marLeft w:val="0"/>
      <w:marRight w:val="0"/>
      <w:marTop w:val="0"/>
      <w:marBottom w:val="0"/>
      <w:divBdr>
        <w:top w:val="none" w:sz="0" w:space="0" w:color="auto"/>
        <w:left w:val="none" w:sz="0" w:space="0" w:color="auto"/>
        <w:bottom w:val="none" w:sz="0" w:space="0" w:color="auto"/>
        <w:right w:val="none" w:sz="0" w:space="0" w:color="auto"/>
      </w:divBdr>
      <w:divsChild>
        <w:div w:id="1194659859">
          <w:marLeft w:val="0"/>
          <w:marRight w:val="0"/>
          <w:marTop w:val="0"/>
          <w:marBottom w:val="0"/>
          <w:divBdr>
            <w:top w:val="none" w:sz="0" w:space="0" w:color="auto"/>
            <w:left w:val="none" w:sz="0" w:space="0" w:color="auto"/>
            <w:bottom w:val="none" w:sz="0" w:space="0" w:color="auto"/>
            <w:right w:val="none" w:sz="0" w:space="0" w:color="auto"/>
          </w:divBdr>
        </w:div>
        <w:div w:id="510144611">
          <w:marLeft w:val="0"/>
          <w:marRight w:val="0"/>
          <w:marTop w:val="480"/>
          <w:marBottom w:val="480"/>
          <w:divBdr>
            <w:top w:val="none" w:sz="0" w:space="0" w:color="auto"/>
            <w:left w:val="none" w:sz="0" w:space="0" w:color="auto"/>
            <w:bottom w:val="none" w:sz="0" w:space="0" w:color="auto"/>
            <w:right w:val="none" w:sz="0" w:space="0" w:color="auto"/>
          </w:divBdr>
        </w:div>
      </w:divsChild>
    </w:div>
    <w:div w:id="1650790819">
      <w:bodyDiv w:val="1"/>
      <w:marLeft w:val="0"/>
      <w:marRight w:val="0"/>
      <w:marTop w:val="0"/>
      <w:marBottom w:val="0"/>
      <w:divBdr>
        <w:top w:val="none" w:sz="0" w:space="0" w:color="auto"/>
        <w:left w:val="none" w:sz="0" w:space="0" w:color="auto"/>
        <w:bottom w:val="none" w:sz="0" w:space="0" w:color="auto"/>
        <w:right w:val="none" w:sz="0" w:space="0" w:color="auto"/>
      </w:divBdr>
      <w:divsChild>
        <w:div w:id="2049259260">
          <w:marLeft w:val="0"/>
          <w:marRight w:val="0"/>
          <w:marTop w:val="0"/>
          <w:marBottom w:val="225"/>
          <w:divBdr>
            <w:top w:val="none" w:sz="0" w:space="0" w:color="auto"/>
            <w:left w:val="none" w:sz="0" w:space="0" w:color="auto"/>
            <w:bottom w:val="none" w:sz="0" w:space="0" w:color="auto"/>
            <w:right w:val="none" w:sz="0" w:space="0" w:color="auto"/>
          </w:divBdr>
        </w:div>
        <w:div w:id="112680319">
          <w:marLeft w:val="0"/>
          <w:marRight w:val="0"/>
          <w:marTop w:val="0"/>
          <w:marBottom w:val="225"/>
          <w:divBdr>
            <w:top w:val="none" w:sz="0" w:space="0" w:color="auto"/>
            <w:left w:val="none" w:sz="0" w:space="0" w:color="auto"/>
            <w:bottom w:val="none" w:sz="0" w:space="0" w:color="auto"/>
            <w:right w:val="none" w:sz="0" w:space="0" w:color="auto"/>
          </w:divBdr>
        </w:div>
      </w:divsChild>
    </w:div>
    <w:div w:id="1657565912">
      <w:bodyDiv w:val="1"/>
      <w:marLeft w:val="0"/>
      <w:marRight w:val="0"/>
      <w:marTop w:val="0"/>
      <w:marBottom w:val="0"/>
      <w:divBdr>
        <w:top w:val="none" w:sz="0" w:space="0" w:color="auto"/>
        <w:left w:val="none" w:sz="0" w:space="0" w:color="auto"/>
        <w:bottom w:val="none" w:sz="0" w:space="0" w:color="auto"/>
        <w:right w:val="none" w:sz="0" w:space="0" w:color="auto"/>
      </w:divBdr>
      <w:divsChild>
        <w:div w:id="287471947">
          <w:marLeft w:val="0"/>
          <w:marRight w:val="0"/>
          <w:marTop w:val="0"/>
          <w:marBottom w:val="0"/>
          <w:divBdr>
            <w:top w:val="none" w:sz="0" w:space="0" w:color="auto"/>
            <w:left w:val="none" w:sz="0" w:space="0" w:color="auto"/>
            <w:bottom w:val="none" w:sz="0" w:space="0" w:color="auto"/>
            <w:right w:val="none" w:sz="0" w:space="0" w:color="auto"/>
          </w:divBdr>
        </w:div>
        <w:div w:id="1998806385">
          <w:marLeft w:val="0"/>
          <w:marRight w:val="0"/>
          <w:marTop w:val="480"/>
          <w:marBottom w:val="480"/>
          <w:divBdr>
            <w:top w:val="none" w:sz="0" w:space="0" w:color="auto"/>
            <w:left w:val="none" w:sz="0" w:space="0" w:color="auto"/>
            <w:bottom w:val="none" w:sz="0" w:space="0" w:color="auto"/>
            <w:right w:val="none" w:sz="0" w:space="0" w:color="auto"/>
          </w:divBdr>
        </w:div>
      </w:divsChild>
    </w:div>
    <w:div w:id="1661419124">
      <w:bodyDiv w:val="1"/>
      <w:marLeft w:val="0"/>
      <w:marRight w:val="0"/>
      <w:marTop w:val="0"/>
      <w:marBottom w:val="0"/>
      <w:divBdr>
        <w:top w:val="none" w:sz="0" w:space="0" w:color="auto"/>
        <w:left w:val="none" w:sz="0" w:space="0" w:color="auto"/>
        <w:bottom w:val="none" w:sz="0" w:space="0" w:color="auto"/>
        <w:right w:val="none" w:sz="0" w:space="0" w:color="auto"/>
      </w:divBdr>
      <w:divsChild>
        <w:div w:id="1162503653">
          <w:marLeft w:val="0"/>
          <w:marRight w:val="0"/>
          <w:marTop w:val="0"/>
          <w:marBottom w:val="0"/>
          <w:divBdr>
            <w:top w:val="none" w:sz="0" w:space="0" w:color="auto"/>
            <w:left w:val="none" w:sz="0" w:space="0" w:color="auto"/>
            <w:bottom w:val="none" w:sz="0" w:space="0" w:color="auto"/>
            <w:right w:val="none" w:sz="0" w:space="0" w:color="auto"/>
          </w:divBdr>
        </w:div>
        <w:div w:id="486749000">
          <w:marLeft w:val="0"/>
          <w:marRight w:val="0"/>
          <w:marTop w:val="480"/>
          <w:marBottom w:val="480"/>
          <w:divBdr>
            <w:top w:val="none" w:sz="0" w:space="0" w:color="auto"/>
            <w:left w:val="none" w:sz="0" w:space="0" w:color="auto"/>
            <w:bottom w:val="none" w:sz="0" w:space="0" w:color="auto"/>
            <w:right w:val="none" w:sz="0" w:space="0" w:color="auto"/>
          </w:divBdr>
        </w:div>
      </w:divsChild>
    </w:div>
    <w:div w:id="1714234481">
      <w:bodyDiv w:val="1"/>
      <w:marLeft w:val="0"/>
      <w:marRight w:val="0"/>
      <w:marTop w:val="0"/>
      <w:marBottom w:val="0"/>
      <w:divBdr>
        <w:top w:val="none" w:sz="0" w:space="0" w:color="auto"/>
        <w:left w:val="none" w:sz="0" w:space="0" w:color="auto"/>
        <w:bottom w:val="none" w:sz="0" w:space="0" w:color="auto"/>
        <w:right w:val="none" w:sz="0" w:space="0" w:color="auto"/>
      </w:divBdr>
      <w:divsChild>
        <w:div w:id="1225600239">
          <w:marLeft w:val="0"/>
          <w:marRight w:val="0"/>
          <w:marTop w:val="0"/>
          <w:marBottom w:val="225"/>
          <w:divBdr>
            <w:top w:val="none" w:sz="0" w:space="0" w:color="auto"/>
            <w:left w:val="none" w:sz="0" w:space="0" w:color="auto"/>
            <w:bottom w:val="none" w:sz="0" w:space="0" w:color="auto"/>
            <w:right w:val="none" w:sz="0" w:space="0" w:color="auto"/>
          </w:divBdr>
        </w:div>
        <w:div w:id="1150713366">
          <w:marLeft w:val="0"/>
          <w:marRight w:val="0"/>
          <w:marTop w:val="0"/>
          <w:marBottom w:val="225"/>
          <w:divBdr>
            <w:top w:val="none" w:sz="0" w:space="0" w:color="auto"/>
            <w:left w:val="none" w:sz="0" w:space="0" w:color="auto"/>
            <w:bottom w:val="none" w:sz="0" w:space="0" w:color="auto"/>
            <w:right w:val="none" w:sz="0" w:space="0" w:color="auto"/>
          </w:divBdr>
        </w:div>
      </w:divsChild>
    </w:div>
    <w:div w:id="1735741658">
      <w:bodyDiv w:val="1"/>
      <w:marLeft w:val="0"/>
      <w:marRight w:val="0"/>
      <w:marTop w:val="0"/>
      <w:marBottom w:val="0"/>
      <w:divBdr>
        <w:top w:val="none" w:sz="0" w:space="0" w:color="auto"/>
        <w:left w:val="none" w:sz="0" w:space="0" w:color="auto"/>
        <w:bottom w:val="none" w:sz="0" w:space="0" w:color="auto"/>
        <w:right w:val="none" w:sz="0" w:space="0" w:color="auto"/>
      </w:divBdr>
      <w:divsChild>
        <w:div w:id="889414127">
          <w:marLeft w:val="0"/>
          <w:marRight w:val="0"/>
          <w:marTop w:val="0"/>
          <w:marBottom w:val="225"/>
          <w:divBdr>
            <w:top w:val="none" w:sz="0" w:space="0" w:color="auto"/>
            <w:left w:val="none" w:sz="0" w:space="0" w:color="auto"/>
            <w:bottom w:val="none" w:sz="0" w:space="0" w:color="auto"/>
            <w:right w:val="none" w:sz="0" w:space="0" w:color="auto"/>
          </w:divBdr>
        </w:div>
        <w:div w:id="1447120669">
          <w:marLeft w:val="0"/>
          <w:marRight w:val="0"/>
          <w:marTop w:val="0"/>
          <w:marBottom w:val="225"/>
          <w:divBdr>
            <w:top w:val="none" w:sz="0" w:space="0" w:color="auto"/>
            <w:left w:val="none" w:sz="0" w:space="0" w:color="auto"/>
            <w:bottom w:val="none" w:sz="0" w:space="0" w:color="auto"/>
            <w:right w:val="none" w:sz="0" w:space="0" w:color="auto"/>
          </w:divBdr>
        </w:div>
      </w:divsChild>
    </w:div>
    <w:div w:id="1751002866">
      <w:bodyDiv w:val="1"/>
      <w:marLeft w:val="0"/>
      <w:marRight w:val="0"/>
      <w:marTop w:val="0"/>
      <w:marBottom w:val="0"/>
      <w:divBdr>
        <w:top w:val="none" w:sz="0" w:space="0" w:color="auto"/>
        <w:left w:val="none" w:sz="0" w:space="0" w:color="auto"/>
        <w:bottom w:val="none" w:sz="0" w:space="0" w:color="auto"/>
        <w:right w:val="none" w:sz="0" w:space="0" w:color="auto"/>
      </w:divBdr>
      <w:divsChild>
        <w:div w:id="1301885787">
          <w:marLeft w:val="0"/>
          <w:marRight w:val="0"/>
          <w:marTop w:val="0"/>
          <w:marBottom w:val="225"/>
          <w:divBdr>
            <w:top w:val="none" w:sz="0" w:space="0" w:color="auto"/>
            <w:left w:val="none" w:sz="0" w:space="0" w:color="auto"/>
            <w:bottom w:val="none" w:sz="0" w:space="0" w:color="auto"/>
            <w:right w:val="none" w:sz="0" w:space="0" w:color="auto"/>
          </w:divBdr>
        </w:div>
        <w:div w:id="1031226097">
          <w:marLeft w:val="0"/>
          <w:marRight w:val="0"/>
          <w:marTop w:val="0"/>
          <w:marBottom w:val="225"/>
          <w:divBdr>
            <w:top w:val="none" w:sz="0" w:space="0" w:color="auto"/>
            <w:left w:val="none" w:sz="0" w:space="0" w:color="auto"/>
            <w:bottom w:val="none" w:sz="0" w:space="0" w:color="auto"/>
            <w:right w:val="none" w:sz="0" w:space="0" w:color="auto"/>
          </w:divBdr>
        </w:div>
        <w:div w:id="748387369">
          <w:marLeft w:val="0"/>
          <w:marRight w:val="0"/>
          <w:marTop w:val="0"/>
          <w:marBottom w:val="225"/>
          <w:divBdr>
            <w:top w:val="none" w:sz="0" w:space="0" w:color="auto"/>
            <w:left w:val="none" w:sz="0" w:space="0" w:color="auto"/>
            <w:bottom w:val="none" w:sz="0" w:space="0" w:color="auto"/>
            <w:right w:val="none" w:sz="0" w:space="0" w:color="auto"/>
          </w:divBdr>
        </w:div>
      </w:divsChild>
    </w:div>
    <w:div w:id="1851288621">
      <w:bodyDiv w:val="1"/>
      <w:marLeft w:val="0"/>
      <w:marRight w:val="0"/>
      <w:marTop w:val="0"/>
      <w:marBottom w:val="0"/>
      <w:divBdr>
        <w:top w:val="none" w:sz="0" w:space="0" w:color="auto"/>
        <w:left w:val="none" w:sz="0" w:space="0" w:color="auto"/>
        <w:bottom w:val="none" w:sz="0" w:space="0" w:color="auto"/>
        <w:right w:val="none" w:sz="0" w:space="0" w:color="auto"/>
      </w:divBdr>
      <w:divsChild>
        <w:div w:id="1966302987">
          <w:marLeft w:val="0"/>
          <w:marRight w:val="0"/>
          <w:marTop w:val="0"/>
          <w:marBottom w:val="225"/>
          <w:divBdr>
            <w:top w:val="none" w:sz="0" w:space="0" w:color="auto"/>
            <w:left w:val="none" w:sz="0" w:space="0" w:color="auto"/>
            <w:bottom w:val="none" w:sz="0" w:space="0" w:color="auto"/>
            <w:right w:val="none" w:sz="0" w:space="0" w:color="auto"/>
          </w:divBdr>
        </w:div>
        <w:div w:id="1189637009">
          <w:marLeft w:val="0"/>
          <w:marRight w:val="0"/>
          <w:marTop w:val="0"/>
          <w:marBottom w:val="225"/>
          <w:divBdr>
            <w:top w:val="none" w:sz="0" w:space="0" w:color="auto"/>
            <w:left w:val="none" w:sz="0" w:space="0" w:color="auto"/>
            <w:bottom w:val="none" w:sz="0" w:space="0" w:color="auto"/>
            <w:right w:val="none" w:sz="0" w:space="0" w:color="auto"/>
          </w:divBdr>
        </w:div>
        <w:div w:id="127825632">
          <w:marLeft w:val="0"/>
          <w:marRight w:val="0"/>
          <w:marTop w:val="0"/>
          <w:marBottom w:val="225"/>
          <w:divBdr>
            <w:top w:val="none" w:sz="0" w:space="0" w:color="auto"/>
            <w:left w:val="none" w:sz="0" w:space="0" w:color="auto"/>
            <w:bottom w:val="none" w:sz="0" w:space="0" w:color="auto"/>
            <w:right w:val="none" w:sz="0" w:space="0" w:color="auto"/>
          </w:divBdr>
        </w:div>
      </w:divsChild>
    </w:div>
    <w:div w:id="1868642221">
      <w:bodyDiv w:val="1"/>
      <w:marLeft w:val="0"/>
      <w:marRight w:val="0"/>
      <w:marTop w:val="0"/>
      <w:marBottom w:val="0"/>
      <w:divBdr>
        <w:top w:val="none" w:sz="0" w:space="0" w:color="auto"/>
        <w:left w:val="none" w:sz="0" w:space="0" w:color="auto"/>
        <w:bottom w:val="none" w:sz="0" w:space="0" w:color="auto"/>
        <w:right w:val="none" w:sz="0" w:space="0" w:color="auto"/>
      </w:divBdr>
      <w:divsChild>
        <w:div w:id="2020429083">
          <w:marLeft w:val="0"/>
          <w:marRight w:val="0"/>
          <w:marTop w:val="0"/>
          <w:marBottom w:val="0"/>
          <w:divBdr>
            <w:top w:val="none" w:sz="0" w:space="0" w:color="auto"/>
            <w:left w:val="none" w:sz="0" w:space="0" w:color="auto"/>
            <w:bottom w:val="none" w:sz="0" w:space="0" w:color="auto"/>
            <w:right w:val="none" w:sz="0" w:space="0" w:color="auto"/>
          </w:divBdr>
        </w:div>
        <w:div w:id="1889678402">
          <w:marLeft w:val="0"/>
          <w:marRight w:val="0"/>
          <w:marTop w:val="480"/>
          <w:marBottom w:val="480"/>
          <w:divBdr>
            <w:top w:val="none" w:sz="0" w:space="0" w:color="auto"/>
            <w:left w:val="none" w:sz="0" w:space="0" w:color="auto"/>
            <w:bottom w:val="none" w:sz="0" w:space="0" w:color="auto"/>
            <w:right w:val="none" w:sz="0" w:space="0" w:color="auto"/>
          </w:divBdr>
        </w:div>
      </w:divsChild>
    </w:div>
    <w:div w:id="1887713508">
      <w:bodyDiv w:val="1"/>
      <w:marLeft w:val="0"/>
      <w:marRight w:val="0"/>
      <w:marTop w:val="0"/>
      <w:marBottom w:val="0"/>
      <w:divBdr>
        <w:top w:val="none" w:sz="0" w:space="0" w:color="auto"/>
        <w:left w:val="none" w:sz="0" w:space="0" w:color="auto"/>
        <w:bottom w:val="none" w:sz="0" w:space="0" w:color="auto"/>
        <w:right w:val="none" w:sz="0" w:space="0" w:color="auto"/>
      </w:divBdr>
      <w:divsChild>
        <w:div w:id="396099875">
          <w:marLeft w:val="0"/>
          <w:marRight w:val="0"/>
          <w:marTop w:val="0"/>
          <w:marBottom w:val="225"/>
          <w:divBdr>
            <w:top w:val="none" w:sz="0" w:space="0" w:color="auto"/>
            <w:left w:val="none" w:sz="0" w:space="0" w:color="auto"/>
            <w:bottom w:val="none" w:sz="0" w:space="0" w:color="auto"/>
            <w:right w:val="none" w:sz="0" w:space="0" w:color="auto"/>
          </w:divBdr>
        </w:div>
        <w:div w:id="39211163">
          <w:marLeft w:val="0"/>
          <w:marRight w:val="0"/>
          <w:marTop w:val="0"/>
          <w:marBottom w:val="225"/>
          <w:divBdr>
            <w:top w:val="none" w:sz="0" w:space="0" w:color="auto"/>
            <w:left w:val="none" w:sz="0" w:space="0" w:color="auto"/>
            <w:bottom w:val="none" w:sz="0" w:space="0" w:color="auto"/>
            <w:right w:val="none" w:sz="0" w:space="0" w:color="auto"/>
          </w:divBdr>
        </w:div>
        <w:div w:id="245461133">
          <w:marLeft w:val="0"/>
          <w:marRight w:val="0"/>
          <w:marTop w:val="0"/>
          <w:marBottom w:val="225"/>
          <w:divBdr>
            <w:top w:val="none" w:sz="0" w:space="0" w:color="auto"/>
            <w:left w:val="none" w:sz="0" w:space="0" w:color="auto"/>
            <w:bottom w:val="none" w:sz="0" w:space="0" w:color="auto"/>
            <w:right w:val="none" w:sz="0" w:space="0" w:color="auto"/>
          </w:divBdr>
        </w:div>
      </w:divsChild>
    </w:div>
    <w:div w:id="2011365417">
      <w:bodyDiv w:val="1"/>
      <w:marLeft w:val="0"/>
      <w:marRight w:val="0"/>
      <w:marTop w:val="0"/>
      <w:marBottom w:val="0"/>
      <w:divBdr>
        <w:top w:val="none" w:sz="0" w:space="0" w:color="auto"/>
        <w:left w:val="none" w:sz="0" w:space="0" w:color="auto"/>
        <w:bottom w:val="none" w:sz="0" w:space="0" w:color="auto"/>
        <w:right w:val="none" w:sz="0" w:space="0" w:color="auto"/>
      </w:divBdr>
      <w:divsChild>
        <w:div w:id="850416679">
          <w:marLeft w:val="0"/>
          <w:marRight w:val="0"/>
          <w:marTop w:val="0"/>
          <w:marBottom w:val="0"/>
          <w:divBdr>
            <w:top w:val="none" w:sz="0" w:space="0" w:color="auto"/>
            <w:left w:val="none" w:sz="0" w:space="0" w:color="auto"/>
            <w:bottom w:val="none" w:sz="0" w:space="0" w:color="auto"/>
            <w:right w:val="none" w:sz="0" w:space="0" w:color="auto"/>
          </w:divBdr>
        </w:div>
        <w:div w:id="177744682">
          <w:marLeft w:val="0"/>
          <w:marRight w:val="0"/>
          <w:marTop w:val="480"/>
          <w:marBottom w:val="480"/>
          <w:divBdr>
            <w:top w:val="none" w:sz="0" w:space="0" w:color="auto"/>
            <w:left w:val="none" w:sz="0" w:space="0" w:color="auto"/>
            <w:bottom w:val="none" w:sz="0" w:space="0" w:color="auto"/>
            <w:right w:val="none" w:sz="0" w:space="0" w:color="auto"/>
          </w:divBdr>
        </w:div>
      </w:divsChild>
    </w:div>
    <w:div w:id="2064712350">
      <w:bodyDiv w:val="1"/>
      <w:marLeft w:val="0"/>
      <w:marRight w:val="0"/>
      <w:marTop w:val="0"/>
      <w:marBottom w:val="0"/>
      <w:divBdr>
        <w:top w:val="none" w:sz="0" w:space="0" w:color="auto"/>
        <w:left w:val="none" w:sz="0" w:space="0" w:color="auto"/>
        <w:bottom w:val="none" w:sz="0" w:space="0" w:color="auto"/>
        <w:right w:val="none" w:sz="0" w:space="0" w:color="auto"/>
      </w:divBdr>
      <w:divsChild>
        <w:div w:id="855844189">
          <w:marLeft w:val="0"/>
          <w:marRight w:val="0"/>
          <w:marTop w:val="0"/>
          <w:marBottom w:val="225"/>
          <w:divBdr>
            <w:top w:val="none" w:sz="0" w:space="0" w:color="auto"/>
            <w:left w:val="none" w:sz="0" w:space="0" w:color="auto"/>
            <w:bottom w:val="none" w:sz="0" w:space="0" w:color="auto"/>
            <w:right w:val="none" w:sz="0" w:space="0" w:color="auto"/>
          </w:divBdr>
        </w:div>
        <w:div w:id="256066096">
          <w:marLeft w:val="0"/>
          <w:marRight w:val="0"/>
          <w:marTop w:val="0"/>
          <w:marBottom w:val="225"/>
          <w:divBdr>
            <w:top w:val="none" w:sz="0" w:space="0" w:color="auto"/>
            <w:left w:val="none" w:sz="0" w:space="0" w:color="auto"/>
            <w:bottom w:val="none" w:sz="0" w:space="0" w:color="auto"/>
            <w:right w:val="none" w:sz="0" w:space="0" w:color="auto"/>
          </w:divBdr>
        </w:div>
      </w:divsChild>
    </w:div>
    <w:div w:id="211092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542/peds.2013-1985" TargetMode="External"/><Relationship Id="rId13" Type="http://schemas.openxmlformats.org/officeDocument/2006/relationships/hyperlink" Target="http://dx.doi.org/10.1542/pir.33-6-243" TargetMode="External"/><Relationship Id="rId18" Type="http://schemas.openxmlformats.org/officeDocument/2006/relationships/hyperlink" Target="https://www.atsdr.cdc.gov/csem/csem.asp?csem=27&amp;po=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acr.org/~/media/ACR/Documents/PDF/QualitySafety/Resources/Contrast%20Manual/2016_Contrast_Media.pdf" TargetMode="External"/><Relationship Id="rId12" Type="http://schemas.openxmlformats.org/officeDocument/2006/relationships/hyperlink" Target="http://dx.doi.org/10.1542/peds.2013-0421" TargetMode="External"/><Relationship Id="rId17" Type="http://schemas.openxmlformats.org/officeDocument/2006/relationships/hyperlink" Target="http://www.pehsu.net/" TargetMode="External"/><Relationship Id="rId2" Type="http://schemas.openxmlformats.org/officeDocument/2006/relationships/styles" Target="styles.xml"/><Relationship Id="rId16" Type="http://schemas.openxmlformats.org/officeDocument/2006/relationships/hyperlink" Target="http://www.atsdr.cdc.gov/csem/pediatric_history/docs/pediatric_history.pdf" TargetMode="External"/><Relationship Id="rId20" Type="http://schemas.openxmlformats.org/officeDocument/2006/relationships/hyperlink" Target="http://whqlibdoc.who.int/publications/2006/924157237X_eng.pdf" TargetMode="External"/><Relationship Id="rId1" Type="http://schemas.openxmlformats.org/officeDocument/2006/relationships/numbering" Target="numbering.xml"/><Relationship Id="rId6" Type="http://schemas.openxmlformats.org/officeDocument/2006/relationships/hyperlink" Target="https://toxnet.nlm.nih.gov/newtoxnet/lactmed.htm" TargetMode="External"/><Relationship Id="rId11" Type="http://schemas.openxmlformats.org/officeDocument/2006/relationships/hyperlink" Target="http://dx.doi.org/10.1097/01.mpg.0000441933.15093.c3" TargetMode="External"/><Relationship Id="rId5" Type="http://schemas.openxmlformats.org/officeDocument/2006/relationships/hyperlink" Target="https://toxnet.nlm.nih.gov/newtoxnet/lactmed.htm" TargetMode="External"/><Relationship Id="rId15" Type="http://schemas.openxmlformats.org/officeDocument/2006/relationships/hyperlink" Target="http://www.pehsu.net/" TargetMode="External"/><Relationship Id="rId10" Type="http://schemas.openxmlformats.org/officeDocument/2006/relationships/hyperlink" Target="http://dx.doi.org/10.1542/peds.2012-2362" TargetMode="External"/><Relationship Id="rId19" Type="http://schemas.openxmlformats.org/officeDocument/2006/relationships/hyperlink" Target="https://www.atsdr.cdc.gov/emes/training/index.html" TargetMode="External"/><Relationship Id="rId4" Type="http://schemas.openxmlformats.org/officeDocument/2006/relationships/webSettings" Target="webSettings.xml"/><Relationship Id="rId9" Type="http://schemas.openxmlformats.org/officeDocument/2006/relationships/hyperlink" Target="http://dx.doi.org/10.1542/peds.2011-3552" TargetMode="External"/><Relationship Id="rId14" Type="http://schemas.openxmlformats.org/officeDocument/2006/relationships/hyperlink" Target="http://dx.doi.org/10.1111/apt.1214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3897</Words>
  <Characters>22218</Characters>
  <Application>Microsoft Office Word</Application>
  <DocSecurity>4</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Wynne, Kathryn</cp:lastModifiedBy>
  <cp:revision>2</cp:revision>
  <dcterms:created xsi:type="dcterms:W3CDTF">2020-05-19T20:41:00Z</dcterms:created>
  <dcterms:modified xsi:type="dcterms:W3CDTF">2020-05-19T20:41:00Z</dcterms:modified>
</cp:coreProperties>
</file>