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94A9" w14:textId="77777777" w:rsidR="00D37427" w:rsidRDefault="00D37427" w:rsidP="00D37427">
      <w:pPr>
        <w:rPr>
          <w:b/>
        </w:rPr>
      </w:pPr>
    </w:p>
    <w:p w14:paraId="7DD7DAC0" w14:textId="77777777" w:rsidR="00D37427" w:rsidRDefault="00D37427" w:rsidP="00D37427">
      <w:pPr>
        <w:rPr>
          <w:b/>
        </w:rPr>
      </w:pPr>
      <w:r>
        <w:rPr>
          <w:b/>
        </w:rPr>
        <w:t xml:space="preserve">Skin and Soft Tissue Infections, </w:t>
      </w:r>
      <w:r w:rsidR="0016345C" w:rsidRPr="00FC3490">
        <w:rPr>
          <w:b/>
        </w:rPr>
        <w:t>Self-Assessment</w:t>
      </w:r>
      <w:r w:rsidRPr="00FC3490">
        <w:rPr>
          <w:b/>
        </w:rPr>
        <w:t>:</w:t>
      </w:r>
    </w:p>
    <w:p w14:paraId="5CF00344" w14:textId="77777777" w:rsidR="00D37427" w:rsidRDefault="00D37427" w:rsidP="00D37427">
      <w:pPr>
        <w:rPr>
          <w:b/>
        </w:rPr>
      </w:pPr>
      <w:r>
        <w:rPr>
          <w:b/>
        </w:rPr>
        <w:t>Last updated July 2020</w:t>
      </w:r>
    </w:p>
    <w:p w14:paraId="7EBA29EE" w14:textId="77777777" w:rsidR="00D37427" w:rsidRDefault="00D37427" w:rsidP="00D37427">
      <w:pPr>
        <w:rPr>
          <w:b/>
        </w:rPr>
      </w:pPr>
    </w:p>
    <w:p w14:paraId="46E794AF" w14:textId="77777777" w:rsidR="00D37427" w:rsidRDefault="00D37427" w:rsidP="00D37427">
      <w:pPr>
        <w:pStyle w:val="ListParagraph"/>
        <w:numPr>
          <w:ilvl w:val="0"/>
          <w:numId w:val="1"/>
        </w:numPr>
      </w:pPr>
      <w:r w:rsidRPr="00FE698B">
        <w:t xml:space="preserve">A </w:t>
      </w:r>
      <w:proofErr w:type="gramStart"/>
      <w:r w:rsidRPr="00FE698B">
        <w:t>3 year old</w:t>
      </w:r>
      <w:proofErr w:type="gramEnd"/>
      <w:r w:rsidRPr="00FE698B">
        <w:t xml:space="preserve"> girl presents to your Emergency Room with fever and left sided facial swelling.</w:t>
      </w:r>
      <w:r>
        <w:t xml:space="preserve"> According to the patient’s mother, she was well until last night but when she woke up this morning she was febrile to 102 degrees F (38.9 C) and very irritable. Several hours later, her mother noticed an area of redness and swelling on the left side of her face. She called her daughter’s PCP and was told to come to the ED.  </w:t>
      </w:r>
    </w:p>
    <w:p w14:paraId="3D3FD5EA" w14:textId="77777777" w:rsidR="00D37427" w:rsidRDefault="00D37427" w:rsidP="00D37427">
      <w:pPr>
        <w:pStyle w:val="ListParagraph"/>
      </w:pPr>
      <w:r>
        <w:t xml:space="preserve">In the ED, the patient is febrile to 39 C and irritable. She has some mild tachycardia, but otherwise normal vital signs. On physical exam she has an area of bright red skin from just above her mouth to below her eye on the left side and spreading over her nose to the right. The area appears well demarcated around the edges, is slightly raised, and is warm to the touch (see image below). The remainder of her physical exam is unremarkable.  She is up to date on her vaccines. She has been otherwise healthy, but has an older brother who was recently treated for Strep Throat. </w:t>
      </w:r>
    </w:p>
    <w:p w14:paraId="54FE51C4" w14:textId="77777777" w:rsidR="00D37427" w:rsidRDefault="00D37427" w:rsidP="00D37427">
      <w:pPr>
        <w:pStyle w:val="ListParagraph"/>
      </w:pPr>
      <w:r>
        <w:t>Based on your history and physical exam, what is the best antibiotic to treat this patient with?</w:t>
      </w:r>
    </w:p>
    <w:p w14:paraId="3B93AB4A" w14:textId="77777777" w:rsidR="00D37427" w:rsidRDefault="00D37427" w:rsidP="00D37427">
      <w:pPr>
        <w:pStyle w:val="ListParagraph"/>
      </w:pPr>
    </w:p>
    <w:p w14:paraId="2B1EFC9E" w14:textId="77777777" w:rsidR="00D37427" w:rsidRDefault="00D37427" w:rsidP="00D37427">
      <w:pPr>
        <w:pStyle w:val="ListParagraph"/>
      </w:pPr>
      <w:r>
        <w:rPr>
          <w:rFonts w:ascii="Arial" w:hAnsi="Arial" w:cs="Arial"/>
          <w:noProof/>
          <w:color w:val="2962FF"/>
          <w:lang w:val="en"/>
        </w:rPr>
        <w:drawing>
          <wp:inline distT="0" distB="0" distL="0" distR="0" wp14:anchorId="582C6CD5" wp14:editId="3B5811C7">
            <wp:extent cx="2343150" cy="1318022"/>
            <wp:effectExtent l="0" t="0" r="0" b="0"/>
            <wp:docPr id="4" name="Picture 4" descr="Erysipelas: What Is It and How to Treat It | The Doctors TV Show">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ysipelas: What Is It and How to Treat It | The Doctors TV Show">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1668" cy="1328438"/>
                    </a:xfrm>
                    <a:prstGeom prst="rect">
                      <a:avLst/>
                    </a:prstGeom>
                    <a:noFill/>
                    <a:ln>
                      <a:noFill/>
                    </a:ln>
                  </pic:spPr>
                </pic:pic>
              </a:graphicData>
            </a:graphic>
          </wp:inline>
        </w:drawing>
      </w:r>
    </w:p>
    <w:p w14:paraId="5ECDFEDB" w14:textId="77777777" w:rsidR="00D37427" w:rsidRDefault="00D37427" w:rsidP="00D37427">
      <w:pPr>
        <w:pStyle w:val="ListParagraph"/>
      </w:pPr>
    </w:p>
    <w:p w14:paraId="1FB70003" w14:textId="77777777" w:rsidR="00D37427" w:rsidRDefault="00D37427" w:rsidP="00D37427">
      <w:pPr>
        <w:pStyle w:val="ListParagraph"/>
        <w:numPr>
          <w:ilvl w:val="0"/>
          <w:numId w:val="2"/>
        </w:numPr>
      </w:pPr>
      <w:r>
        <w:t>TMP/SMX</w:t>
      </w:r>
    </w:p>
    <w:p w14:paraId="4A882E82" w14:textId="77777777" w:rsidR="00D37427" w:rsidRDefault="00D37427" w:rsidP="00D37427">
      <w:pPr>
        <w:pStyle w:val="ListParagraph"/>
        <w:numPr>
          <w:ilvl w:val="0"/>
          <w:numId w:val="2"/>
        </w:numPr>
      </w:pPr>
      <w:r>
        <w:t>Ceftriaxone</w:t>
      </w:r>
    </w:p>
    <w:p w14:paraId="656D0CA3" w14:textId="77777777" w:rsidR="00D37427" w:rsidRDefault="00D37427" w:rsidP="00D37427">
      <w:pPr>
        <w:pStyle w:val="ListParagraph"/>
        <w:numPr>
          <w:ilvl w:val="0"/>
          <w:numId w:val="2"/>
        </w:numPr>
      </w:pPr>
      <w:r>
        <w:t>Cephalexin</w:t>
      </w:r>
    </w:p>
    <w:p w14:paraId="238ABA22" w14:textId="77777777" w:rsidR="00D37427" w:rsidRDefault="00D37427" w:rsidP="00D37427">
      <w:pPr>
        <w:pStyle w:val="ListParagraph"/>
        <w:numPr>
          <w:ilvl w:val="0"/>
          <w:numId w:val="2"/>
        </w:numPr>
      </w:pPr>
      <w:r>
        <w:t xml:space="preserve">Cefazolin </w:t>
      </w:r>
    </w:p>
    <w:p w14:paraId="1C1379EE" w14:textId="77777777" w:rsidR="00D37427" w:rsidRDefault="00D37427" w:rsidP="00D37427">
      <w:pPr>
        <w:pStyle w:val="ListParagraph"/>
        <w:numPr>
          <w:ilvl w:val="0"/>
          <w:numId w:val="2"/>
        </w:numPr>
      </w:pPr>
      <w:r>
        <w:t xml:space="preserve">Vancomycin </w:t>
      </w:r>
    </w:p>
    <w:p w14:paraId="32394F31" w14:textId="77777777" w:rsidR="00D37427" w:rsidRDefault="00D37427" w:rsidP="00D37427">
      <w:pPr>
        <w:pStyle w:val="ListParagraph"/>
        <w:ind w:left="1080"/>
      </w:pPr>
    </w:p>
    <w:p w14:paraId="5B9FD953" w14:textId="7FAF2E5C" w:rsidR="00FE698B" w:rsidRDefault="001D0D04" w:rsidP="00BE1891">
      <w:r>
        <w:rPr>
          <w:b/>
        </w:rPr>
        <w:t>D</w:t>
      </w:r>
      <w:r w:rsidR="00FE698B" w:rsidRPr="00FE698B">
        <w:rPr>
          <w:b/>
        </w:rPr>
        <w:t>- Cef</w:t>
      </w:r>
      <w:r>
        <w:rPr>
          <w:b/>
        </w:rPr>
        <w:t>azolin</w:t>
      </w:r>
      <w:r w:rsidR="00FE698B">
        <w:t xml:space="preserve">. Given the rapid onset of symptoms, brother with recent GAS infection, fever, and non-purulent warm erythematous area on her face, this is most likely erysipelas caused by GAS. With her rapid progression of symptoms and high fever, she should be admitted for IV antibiotics (this would be classified as a moderate infection- see algorithm below). </w:t>
      </w:r>
    </w:p>
    <w:p w14:paraId="1E612CC8" w14:textId="77777777" w:rsidR="00FE698B" w:rsidRDefault="00FE698B" w:rsidP="00FE698B">
      <w:pPr>
        <w:pStyle w:val="ListParagraph"/>
      </w:pPr>
    </w:p>
    <w:p w14:paraId="10FFB027" w14:textId="77777777" w:rsidR="00FE698B" w:rsidRPr="003E5C40" w:rsidRDefault="00FE698B" w:rsidP="00FE698B">
      <w:pPr>
        <w:rPr>
          <w:b/>
          <w:u w:val="single"/>
        </w:rPr>
      </w:pPr>
      <w:r w:rsidRPr="003E5C40">
        <w:rPr>
          <w:b/>
          <w:u w:val="single"/>
        </w:rPr>
        <w:t>Cellulitis and Erysipelas</w:t>
      </w:r>
    </w:p>
    <w:p w14:paraId="3C158430" w14:textId="77777777" w:rsidR="00FE698B" w:rsidRDefault="00FE698B" w:rsidP="00FE698B">
      <w:r>
        <w:rPr>
          <w:rFonts w:ascii="Verdana" w:hAnsi="Verdana" w:cs="Helvetica"/>
          <w:noProof/>
          <w:lang w:val="en"/>
        </w:rPr>
        <w:lastRenderedPageBreak/>
        <w:drawing>
          <wp:inline distT="0" distB="0" distL="0" distR="0" wp14:anchorId="3CAED66F" wp14:editId="1A6543AF">
            <wp:extent cx="5572125" cy="2009775"/>
            <wp:effectExtent l="0" t="0" r="9525" b="952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2009775"/>
                    </a:xfrm>
                    <a:prstGeom prst="rect">
                      <a:avLst/>
                    </a:prstGeom>
                    <a:noFill/>
                    <a:ln>
                      <a:noFill/>
                    </a:ln>
                  </pic:spPr>
                </pic:pic>
              </a:graphicData>
            </a:graphic>
          </wp:inline>
        </w:drawing>
      </w:r>
    </w:p>
    <w:p w14:paraId="207CEBDF" w14:textId="77777777" w:rsidR="00FE698B" w:rsidRDefault="00FE698B" w:rsidP="00FE698B">
      <w:r>
        <w:t>(image from UpToDate)</w:t>
      </w:r>
    </w:p>
    <w:p w14:paraId="737199F5" w14:textId="77777777" w:rsidR="00FE698B" w:rsidRDefault="00FE698B" w:rsidP="00FE698B">
      <w:r>
        <w:t xml:space="preserve">These are a bacterial infection within the skin (erysipelas is more superficial than cellulitis). Both characterized by redness and warmth on the skin and are well demarcated. They can both be associated with systemic symptoms such as fever. Erysipelas is more commonly associated with rapid onset of symptoms. Most often caused by beta-hemolytic strep (A, B, C, G, F- but especially GAS!), and staph aureus (more commonly MSSA than MRSA). Note: Some </w:t>
      </w:r>
      <w:proofErr w:type="gramStart"/>
      <w:r>
        <w:t>less</w:t>
      </w:r>
      <w:proofErr w:type="gramEnd"/>
      <w:r>
        <w:t xml:space="preserve"> common causes- H. flu (especially in non-immunized patients or immunocompromised), clostridia species, strep pneumonia and Neisseria meningitidis.  </w:t>
      </w:r>
    </w:p>
    <w:p w14:paraId="682C44F0" w14:textId="77777777" w:rsidR="00FE698B" w:rsidRPr="00C81506" w:rsidRDefault="00FE698B" w:rsidP="00FE698B">
      <w:pPr>
        <w:rPr>
          <w:u w:val="single"/>
        </w:rPr>
      </w:pPr>
      <w:r w:rsidRPr="00C81506">
        <w:rPr>
          <w:u w:val="single"/>
        </w:rPr>
        <w:t>Work-up and treatment:</w:t>
      </w:r>
    </w:p>
    <w:p w14:paraId="055D8BA0" w14:textId="77777777" w:rsidR="00FE698B" w:rsidRDefault="00FE698B" w:rsidP="00FE698B">
      <w:r>
        <w:t>Mostly diagnosed clinically.</w:t>
      </w:r>
    </w:p>
    <w:p w14:paraId="70C223D5" w14:textId="77777777" w:rsidR="00FE698B" w:rsidRDefault="00FE698B" w:rsidP="00FE698B">
      <w:r>
        <w:t xml:space="preserve">If erysipelas is suspected, should also screen for GAS pharyngitis. </w:t>
      </w:r>
    </w:p>
    <w:p w14:paraId="62E590BF" w14:textId="77777777" w:rsidR="00FE698B" w:rsidRDefault="00FE698B" w:rsidP="00FE698B">
      <w:r>
        <w:t>If systemic symptoms such as fever- CBC (to assess white count and diff), blood culture (can have bacteremia and septicemia).</w:t>
      </w:r>
    </w:p>
    <w:p w14:paraId="1BEEDEA8" w14:textId="77777777" w:rsidR="00FE698B" w:rsidRDefault="00FE698B" w:rsidP="00FE698B">
      <w:r>
        <w:t xml:space="preserve">Can consider getting a nasal swab to assess for MRSA. If negative for MRSA, then can narrow coverage for just MSSA skin infections. </w:t>
      </w:r>
    </w:p>
    <w:p w14:paraId="35E0A2C2" w14:textId="77777777" w:rsidR="00FE698B" w:rsidRDefault="00FE698B" w:rsidP="00FE698B">
      <w:r>
        <w:t xml:space="preserve">For Oral treatment for mild cases- Cephalexin (no MRSA coverage) OR clindamycin for 5 days, unless symptoms don’t improve, then extend until they are resolved. </w:t>
      </w:r>
    </w:p>
    <w:p w14:paraId="05D0AA25" w14:textId="77777777" w:rsidR="00FE698B" w:rsidRDefault="00FE698B" w:rsidP="00FE698B">
      <w:r>
        <w:t xml:space="preserve">For moderate cases, including those with systemic symptoms, treat with cefazolin (no MRSA coverage), or clindamycin. Can transition to PO once marked improvement and no longer with fevers x 24 hours. </w:t>
      </w:r>
    </w:p>
    <w:p w14:paraId="311C13BA" w14:textId="77777777" w:rsidR="00FE698B" w:rsidRDefault="00FE698B" w:rsidP="00FE698B">
      <w:r>
        <w:t xml:space="preserve">For severe cases treat with vancomycin unless you know it’s from GAS or a </w:t>
      </w:r>
      <w:proofErr w:type="gramStart"/>
      <w:r>
        <w:t>particular bacteria</w:t>
      </w:r>
      <w:proofErr w:type="gramEnd"/>
      <w:r>
        <w:t xml:space="preserve"> -refer to algorithm below for treatment choices.  </w:t>
      </w:r>
    </w:p>
    <w:p w14:paraId="1D2D8896" w14:textId="77777777" w:rsidR="00D37427" w:rsidRDefault="00D37427" w:rsidP="00BE1891">
      <w:pPr>
        <w:pBdr>
          <w:bottom w:val="single" w:sz="12" w:space="1" w:color="auto"/>
        </w:pBdr>
      </w:pPr>
    </w:p>
    <w:p w14:paraId="76DD96F0" w14:textId="77777777" w:rsidR="00BE1891" w:rsidRDefault="00BE1891" w:rsidP="00D37427">
      <w:pPr>
        <w:pStyle w:val="ListParagraph"/>
        <w:ind w:left="1080"/>
      </w:pPr>
    </w:p>
    <w:p w14:paraId="2DF47B16" w14:textId="77777777" w:rsidR="00FE698B" w:rsidRDefault="00FE698B" w:rsidP="00D37427">
      <w:pPr>
        <w:pStyle w:val="ListParagraph"/>
        <w:ind w:left="1080"/>
      </w:pPr>
    </w:p>
    <w:p w14:paraId="1722C540" w14:textId="77777777" w:rsidR="00D37427" w:rsidRDefault="00D37427" w:rsidP="00BE1891">
      <w:pPr>
        <w:pStyle w:val="ListParagraph"/>
        <w:numPr>
          <w:ilvl w:val="0"/>
          <w:numId w:val="1"/>
        </w:numPr>
      </w:pPr>
      <w:r>
        <w:t xml:space="preserve">A </w:t>
      </w:r>
      <w:proofErr w:type="gramStart"/>
      <w:r>
        <w:t>15 year old</w:t>
      </w:r>
      <w:proofErr w:type="gramEnd"/>
      <w:r>
        <w:t xml:space="preserve"> male presents to the ED after several days of worsening pain and swelling in his right forearm. His symptoms started several days ago, beginning first as a small area of redness but has </w:t>
      </w:r>
      <w:r>
        <w:lastRenderedPageBreak/>
        <w:t xml:space="preserve">since progressed to much larger and more “swollen”. In the emergency room, his vital signs are all normal and is well appearing. He has otherwise been healthy and is up to date on his vaccines. His right arm has an ~3cm raised area on the medial aspect of his proximal forearm. There is a small lesion at the top and the raised area feels fluctuant when palpated.  </w:t>
      </w:r>
    </w:p>
    <w:p w14:paraId="2BF5DBF4" w14:textId="77777777" w:rsidR="00D37427" w:rsidRDefault="00D37427" w:rsidP="00D37427">
      <w:pPr>
        <w:pStyle w:val="ListParagraph"/>
      </w:pPr>
    </w:p>
    <w:p w14:paraId="1203DFDB" w14:textId="77777777" w:rsidR="00D37427" w:rsidRDefault="00D37427" w:rsidP="00D37427">
      <w:pPr>
        <w:pStyle w:val="ListParagraph"/>
      </w:pPr>
      <w:r>
        <w:t xml:space="preserve">What is the most important aspect of this patient’s treatment. </w:t>
      </w:r>
    </w:p>
    <w:p w14:paraId="39AFA196" w14:textId="77777777" w:rsidR="00D37427" w:rsidRDefault="00D37427" w:rsidP="00D37427">
      <w:pPr>
        <w:pStyle w:val="ListParagraph"/>
        <w:numPr>
          <w:ilvl w:val="0"/>
          <w:numId w:val="4"/>
        </w:numPr>
      </w:pPr>
      <w:r>
        <w:t>Immediate initiation of IV antibiotic therapy</w:t>
      </w:r>
    </w:p>
    <w:p w14:paraId="21D6C6D8" w14:textId="77777777" w:rsidR="00D37427" w:rsidRDefault="00D37427" w:rsidP="00D37427">
      <w:pPr>
        <w:pStyle w:val="ListParagraph"/>
        <w:numPr>
          <w:ilvl w:val="0"/>
          <w:numId w:val="4"/>
        </w:numPr>
      </w:pPr>
      <w:r>
        <w:t>Oral antibiotic therapy and then is safe to discharge home</w:t>
      </w:r>
    </w:p>
    <w:p w14:paraId="47970DA8" w14:textId="77777777" w:rsidR="00D37427" w:rsidRDefault="00D37427" w:rsidP="00D37427">
      <w:pPr>
        <w:pStyle w:val="ListParagraph"/>
        <w:numPr>
          <w:ilvl w:val="0"/>
          <w:numId w:val="4"/>
        </w:numPr>
      </w:pPr>
      <w:r>
        <w:t>Incision and drainage</w:t>
      </w:r>
    </w:p>
    <w:p w14:paraId="08F3C0EC" w14:textId="77777777" w:rsidR="00D37427" w:rsidRDefault="00D37427" w:rsidP="00D37427">
      <w:pPr>
        <w:pStyle w:val="ListParagraph"/>
        <w:numPr>
          <w:ilvl w:val="0"/>
          <w:numId w:val="4"/>
        </w:numPr>
      </w:pPr>
      <w:r>
        <w:t xml:space="preserve">Ultrasound and </w:t>
      </w:r>
      <w:proofErr w:type="spellStart"/>
      <w:r>
        <w:t>xray</w:t>
      </w:r>
      <w:proofErr w:type="spellEnd"/>
      <w:r>
        <w:t xml:space="preserve"> imaging </w:t>
      </w:r>
    </w:p>
    <w:p w14:paraId="0A3CDDE0" w14:textId="77777777" w:rsidR="00D37427" w:rsidRDefault="00D37427" w:rsidP="00D37427">
      <w:pPr>
        <w:pStyle w:val="ListParagraph"/>
        <w:ind w:left="1080"/>
      </w:pPr>
    </w:p>
    <w:p w14:paraId="5C18A06E" w14:textId="77777777" w:rsidR="00BE1891" w:rsidRDefault="00BE1891" w:rsidP="00BE1891">
      <w:r w:rsidRPr="00BE1891">
        <w:rPr>
          <w:b/>
        </w:rPr>
        <w:t>C- incision and drainage</w:t>
      </w:r>
      <w:r>
        <w:t xml:space="preserve">. This patient has an abscess on his right arm. Based on the presentation of development over several days, growing area of fluctuance, and lack of systemic symptoms this is an abscess and needs to be treated with an incision and drainage.  This would be considered a mild purulent </w:t>
      </w:r>
      <w:proofErr w:type="gramStart"/>
      <w:r>
        <w:t>infection,</w:t>
      </w:r>
      <w:proofErr w:type="gramEnd"/>
      <w:r>
        <w:t xml:space="preserve"> therefore incision and drainage alone would be acceptable management (see algorithm below). </w:t>
      </w:r>
    </w:p>
    <w:p w14:paraId="37CF95CC" w14:textId="77777777" w:rsidR="00BE1891" w:rsidRDefault="00BE1891" w:rsidP="00BE1891"/>
    <w:p w14:paraId="31B273EC" w14:textId="77777777" w:rsidR="00BE1891" w:rsidRPr="003E5C40" w:rsidRDefault="00BE1891" w:rsidP="00BE1891">
      <w:pPr>
        <w:rPr>
          <w:b/>
        </w:rPr>
      </w:pPr>
      <w:r w:rsidRPr="003E5C40">
        <w:rPr>
          <w:b/>
          <w:u w:val="single"/>
        </w:rPr>
        <w:t>Abscesses</w:t>
      </w:r>
      <w:r w:rsidRPr="003E5C40">
        <w:rPr>
          <w:b/>
        </w:rPr>
        <w:t>-</w:t>
      </w:r>
    </w:p>
    <w:p w14:paraId="26160325" w14:textId="77777777" w:rsidR="00BE1891" w:rsidRDefault="00BE1891" w:rsidP="00BE1891">
      <w:pPr>
        <w:pStyle w:val="ListParagraph"/>
      </w:pPr>
      <w:r>
        <w:t xml:space="preserve">These are a collection of pus within the dermis of subcutaneous space. Unlike cellulitis and erysipelas, it is less common for them to be associated with systemic symptoms like fever. However, cellulitis may also be present with an abscess. </w:t>
      </w:r>
    </w:p>
    <w:p w14:paraId="35837730" w14:textId="77777777" w:rsidR="00BE1891" w:rsidRDefault="00BE1891" w:rsidP="00BE1891">
      <w:pPr>
        <w:pStyle w:val="ListParagraph"/>
      </w:pPr>
    </w:p>
    <w:p w14:paraId="0F8030A0" w14:textId="77777777" w:rsidR="00BE1891" w:rsidRDefault="00BE1891" w:rsidP="00BE1891">
      <w:pPr>
        <w:pStyle w:val="ListParagraph"/>
      </w:pPr>
      <w:r>
        <w:t xml:space="preserve">Bugs: Most often Staph aureus (~75%), but can also be GAS, gram neg bacilli w/ anaerobes. Rarely: </w:t>
      </w:r>
      <w:proofErr w:type="spellStart"/>
      <w:r>
        <w:t>nonTB</w:t>
      </w:r>
      <w:proofErr w:type="spellEnd"/>
      <w:r>
        <w:t xml:space="preserve"> mycobacteria, Nocardia, Blastomycosis, Cryptococcus</w:t>
      </w:r>
    </w:p>
    <w:p w14:paraId="43D628D7" w14:textId="77777777" w:rsidR="00BE1891" w:rsidRDefault="00BE1891" w:rsidP="00BE1891">
      <w:pPr>
        <w:pStyle w:val="ListParagraph"/>
      </w:pPr>
    </w:p>
    <w:p w14:paraId="09E99B39" w14:textId="77777777" w:rsidR="00BE1891" w:rsidRPr="00964B1D" w:rsidRDefault="00BE1891" w:rsidP="00BE1891">
      <w:pPr>
        <w:pStyle w:val="ListParagraph"/>
        <w:rPr>
          <w:u w:val="single"/>
        </w:rPr>
      </w:pPr>
      <w:r w:rsidRPr="00964B1D">
        <w:rPr>
          <w:u w:val="single"/>
        </w:rPr>
        <w:t>Work-up and treatment:</w:t>
      </w:r>
    </w:p>
    <w:p w14:paraId="61F48863" w14:textId="77777777" w:rsidR="00BE1891" w:rsidRDefault="00BE1891" w:rsidP="00BE1891">
      <w:pPr>
        <w:pStyle w:val="ListParagraph"/>
      </w:pPr>
      <w:r>
        <w:t>-Clinically: can see fluctuance on exam</w:t>
      </w:r>
    </w:p>
    <w:p w14:paraId="7D211E05" w14:textId="77777777" w:rsidR="00BE1891" w:rsidRDefault="00BE1891" w:rsidP="00BE1891">
      <w:pPr>
        <w:pStyle w:val="ListParagraph"/>
      </w:pPr>
      <w:r>
        <w:t xml:space="preserve">-Imaging: Can consider getting an ultrasound to assess for degree of involvement of abscess or to distinguish between cellulitis and an abscess if not clear by clinical exam. </w:t>
      </w:r>
    </w:p>
    <w:p w14:paraId="7A89A0C5" w14:textId="77777777" w:rsidR="00BE1891" w:rsidRDefault="00BE1891" w:rsidP="00BE1891">
      <w:pPr>
        <w:pStyle w:val="ListParagraph"/>
      </w:pPr>
      <w:r>
        <w:t xml:space="preserve">If concerned for osteomyelitis, can consider getting an MRI. </w:t>
      </w:r>
    </w:p>
    <w:p w14:paraId="0CE9A89F" w14:textId="77777777" w:rsidR="00BE1891" w:rsidRDefault="00BE1891" w:rsidP="00BE1891">
      <w:pPr>
        <w:pStyle w:val="ListParagraph"/>
      </w:pPr>
    </w:p>
    <w:p w14:paraId="7AF68365" w14:textId="77777777" w:rsidR="00BE1891" w:rsidRDefault="00BE1891" w:rsidP="00BE1891">
      <w:pPr>
        <w:pStyle w:val="ListParagraph"/>
      </w:pPr>
      <w:r>
        <w:t xml:space="preserve">-Tests: For moderate and severe infections, purulent fluid from I&amp;D should be sent for culture and sensitivity (see algorithm below). </w:t>
      </w:r>
    </w:p>
    <w:p w14:paraId="5E1BBD44" w14:textId="77777777" w:rsidR="00BE1891" w:rsidRPr="003A7A5E" w:rsidRDefault="00BE1891" w:rsidP="00BE1891">
      <w:pPr>
        <w:pStyle w:val="ListParagraph"/>
        <w:rPr>
          <w:color w:val="000000" w:themeColor="text1"/>
        </w:rPr>
      </w:pPr>
      <w:r>
        <w:t xml:space="preserve">Can consider getting MRSA nasal swab to see if you should cover for MRSA if antibiotics are warranted. </w:t>
      </w:r>
      <w:r w:rsidRPr="003A7A5E">
        <w:rPr>
          <w:color w:val="000000" w:themeColor="text1"/>
        </w:rPr>
        <w:t xml:space="preserve">Can do wound MRSA swab. No need to get nasal MRSA swab if swabbed wound for culture. </w:t>
      </w:r>
    </w:p>
    <w:p w14:paraId="6938B20B" w14:textId="77777777" w:rsidR="00BE1891" w:rsidRDefault="00BE1891" w:rsidP="00BE1891">
      <w:pPr>
        <w:pStyle w:val="ListParagraph"/>
      </w:pPr>
    </w:p>
    <w:p w14:paraId="3F132FC1" w14:textId="77777777" w:rsidR="00BE1891" w:rsidRDefault="00BE1891" w:rsidP="00BE1891">
      <w:pPr>
        <w:pStyle w:val="ListParagraph"/>
      </w:pPr>
      <w:r>
        <w:t xml:space="preserve">-Treatment: The definitive treatment for abscess are incision and drainage. </w:t>
      </w:r>
    </w:p>
    <w:p w14:paraId="5E1BDE32" w14:textId="77777777" w:rsidR="00BE1891" w:rsidRDefault="00BE1891" w:rsidP="00BE1891">
      <w:pPr>
        <w:pStyle w:val="ListParagraph"/>
      </w:pPr>
      <w:r>
        <w:t>For moderate to severe infections (</w:t>
      </w:r>
      <w:proofErr w:type="spellStart"/>
      <w:r>
        <w:t>ie</w:t>
      </w:r>
      <w:proofErr w:type="spellEnd"/>
      <w:r>
        <w:t xml:space="preserve">: there are systemic symptoms as well), patients should be put on antibiotics. </w:t>
      </w:r>
    </w:p>
    <w:p w14:paraId="6E281142" w14:textId="77777777" w:rsidR="00BE1891" w:rsidRDefault="00BE1891" w:rsidP="00BE1891">
      <w:pPr>
        <w:pStyle w:val="ListParagraph"/>
      </w:pPr>
      <w:r w:rsidRPr="00E423E4">
        <w:rPr>
          <w:u w:val="single"/>
        </w:rPr>
        <w:t xml:space="preserve">For empiric </w:t>
      </w:r>
      <w:proofErr w:type="gramStart"/>
      <w:r w:rsidRPr="00E423E4">
        <w:rPr>
          <w:u w:val="single"/>
        </w:rPr>
        <w:t>treatment</w:t>
      </w:r>
      <w:r>
        <w:t xml:space="preserve"> :</w:t>
      </w:r>
      <w:proofErr w:type="gramEnd"/>
    </w:p>
    <w:p w14:paraId="122AFCCD" w14:textId="77777777" w:rsidR="00BE1891" w:rsidRDefault="00BE1891" w:rsidP="00BE1891">
      <w:pPr>
        <w:pStyle w:val="ListParagraph"/>
        <w:ind w:firstLine="720"/>
      </w:pPr>
      <w:r>
        <w:t xml:space="preserve">For </w:t>
      </w:r>
      <w:r w:rsidRPr="0050194C">
        <w:rPr>
          <w:u w:val="single"/>
        </w:rPr>
        <w:t>moderate</w:t>
      </w:r>
      <w:r>
        <w:t xml:space="preserve"> infections: TMP/SMX or doxycycline. </w:t>
      </w:r>
    </w:p>
    <w:p w14:paraId="163106A3" w14:textId="77777777" w:rsidR="00BE1891" w:rsidRDefault="00BE1891" w:rsidP="00BE1891">
      <w:pPr>
        <w:pStyle w:val="ListParagraph"/>
        <w:ind w:firstLine="720"/>
      </w:pPr>
      <w:r>
        <w:lastRenderedPageBreak/>
        <w:t xml:space="preserve">For </w:t>
      </w:r>
      <w:r w:rsidRPr="0050194C">
        <w:rPr>
          <w:u w:val="single"/>
        </w:rPr>
        <w:t>severe</w:t>
      </w:r>
      <w:r>
        <w:t xml:space="preserve"> infections: vancomycin, linezolid, clindamycin, or </w:t>
      </w:r>
      <w:proofErr w:type="spellStart"/>
      <w:r>
        <w:t>ceftaroline</w:t>
      </w:r>
      <w:proofErr w:type="spellEnd"/>
      <w:r>
        <w:t xml:space="preserve"> </w:t>
      </w:r>
    </w:p>
    <w:p w14:paraId="71D85D99" w14:textId="77777777" w:rsidR="00BE1891" w:rsidRDefault="00BE1891" w:rsidP="00BE1891">
      <w:pPr>
        <w:pStyle w:val="ListParagraph"/>
        <w:ind w:left="0" w:firstLine="720"/>
      </w:pPr>
      <w:r w:rsidRPr="00E423E4">
        <w:rPr>
          <w:u w:val="single"/>
        </w:rPr>
        <w:t>For definitive treatment</w:t>
      </w:r>
      <w:r>
        <w:t>:</w:t>
      </w:r>
    </w:p>
    <w:p w14:paraId="148BB43D" w14:textId="77777777" w:rsidR="00BE1891" w:rsidRDefault="00BE1891" w:rsidP="00BE1891">
      <w:pPr>
        <w:pStyle w:val="ListParagraph"/>
        <w:ind w:left="1440"/>
      </w:pPr>
      <w:r>
        <w:t xml:space="preserve">-For </w:t>
      </w:r>
      <w:r w:rsidRPr="0050194C">
        <w:rPr>
          <w:u w:val="single"/>
        </w:rPr>
        <w:t>moderate</w:t>
      </w:r>
      <w:r>
        <w:t xml:space="preserve"> infections: If culture grows MRSA, treat with TMP/SMX; If culture grows MSSA, then treat with dicloxacillin or cephalexin</w:t>
      </w:r>
    </w:p>
    <w:p w14:paraId="4E8E532A" w14:textId="77777777" w:rsidR="00BE1891" w:rsidRDefault="00BE1891" w:rsidP="00BE1891">
      <w:pPr>
        <w:pStyle w:val="ListParagraph"/>
        <w:ind w:left="1440"/>
      </w:pPr>
      <w:r>
        <w:t xml:space="preserve">-For </w:t>
      </w:r>
      <w:r w:rsidRPr="0050194C">
        <w:rPr>
          <w:u w:val="single"/>
        </w:rPr>
        <w:t>severe</w:t>
      </w:r>
      <w:r>
        <w:t xml:space="preserve"> infections: MRSA+ give vancomycin, linezolid, clindamycin, or </w:t>
      </w:r>
      <w:proofErr w:type="spellStart"/>
      <w:r>
        <w:t>ceftaroline</w:t>
      </w:r>
      <w:proofErr w:type="spellEnd"/>
      <w:r>
        <w:t>; MSSA+ give Nafcillin, cefazolin, or clindamycin</w:t>
      </w:r>
    </w:p>
    <w:p w14:paraId="45194547" w14:textId="77777777" w:rsidR="00BE1891" w:rsidRDefault="00BE1891" w:rsidP="00D37427">
      <w:pPr>
        <w:pStyle w:val="ListParagraph"/>
        <w:ind w:left="1080"/>
      </w:pPr>
    </w:p>
    <w:p w14:paraId="75839885" w14:textId="77777777" w:rsidR="00BE1891" w:rsidRDefault="00BE1891" w:rsidP="00D37427">
      <w:pPr>
        <w:pStyle w:val="ListParagraph"/>
        <w:ind w:left="1080"/>
      </w:pPr>
    </w:p>
    <w:p w14:paraId="547F1D74" w14:textId="77777777" w:rsidR="00D37427" w:rsidRDefault="00D37427" w:rsidP="00D37427">
      <w:pPr>
        <w:pStyle w:val="ListParagraph"/>
        <w:pBdr>
          <w:bottom w:val="single" w:sz="12" w:space="1" w:color="auto"/>
        </w:pBdr>
        <w:ind w:left="1080"/>
      </w:pPr>
    </w:p>
    <w:p w14:paraId="2B99BDCA" w14:textId="77777777" w:rsidR="00BE1891" w:rsidRDefault="00BE1891" w:rsidP="00BE1891"/>
    <w:p w14:paraId="4412AF45" w14:textId="77777777" w:rsidR="00D37427" w:rsidRDefault="00D37427" w:rsidP="00D37427">
      <w:pPr>
        <w:pStyle w:val="ListParagraph"/>
        <w:numPr>
          <w:ilvl w:val="0"/>
          <w:numId w:val="1"/>
        </w:numPr>
      </w:pPr>
      <w:r>
        <w:t xml:space="preserve">You are doing your morning rounds on a </w:t>
      </w:r>
      <w:proofErr w:type="gramStart"/>
      <w:r>
        <w:t>7 year old</w:t>
      </w:r>
      <w:proofErr w:type="gramEnd"/>
      <w:r>
        <w:t xml:space="preserve"> girl admitted for viral gastroenteritis. While you are at her bedside doing her physical exam, you notice a </w:t>
      </w:r>
      <w:proofErr w:type="spellStart"/>
      <w:r>
        <w:t>papular</w:t>
      </w:r>
      <w:proofErr w:type="spellEnd"/>
      <w:r>
        <w:t xml:space="preserve"> rash on her cheeks accompanied by several pustules. You mention this to her mother and ask her if she has noticed this yet? Her mother says that she tends to get eczema on her cheeks and figured that’s all it was. She did mention that it seemed worse today and “weepy”.  You take a closer look and notice that there is a yellowish colored discharge crusting over several of the lesions. </w:t>
      </w:r>
    </w:p>
    <w:p w14:paraId="1BDACF72" w14:textId="77777777" w:rsidR="00D37427" w:rsidRDefault="00D37427" w:rsidP="00D37427">
      <w:pPr>
        <w:pStyle w:val="ListParagraph"/>
      </w:pPr>
      <w:r>
        <w:t>How best should you address this rash?</w:t>
      </w:r>
    </w:p>
    <w:p w14:paraId="3455190A" w14:textId="77777777" w:rsidR="00D37427" w:rsidRDefault="00D37427" w:rsidP="00D37427">
      <w:pPr>
        <w:pStyle w:val="ListParagraph"/>
        <w:numPr>
          <w:ilvl w:val="0"/>
          <w:numId w:val="5"/>
        </w:numPr>
      </w:pPr>
      <w:r>
        <w:t>Prescribe mupirocin BID for 5 days</w:t>
      </w:r>
    </w:p>
    <w:p w14:paraId="3FAE5931" w14:textId="77777777" w:rsidR="00D37427" w:rsidRDefault="00D37427" w:rsidP="00D37427">
      <w:pPr>
        <w:pStyle w:val="ListParagraph"/>
        <w:numPr>
          <w:ilvl w:val="0"/>
          <w:numId w:val="5"/>
        </w:numPr>
      </w:pPr>
      <w:r>
        <w:t>Provide education on eczema care and prescribe 1% hydrocortisone ointment to be applied to the region daily until lesions resolve.</w:t>
      </w:r>
    </w:p>
    <w:p w14:paraId="1EA08E5C" w14:textId="77777777" w:rsidR="00D37427" w:rsidRDefault="00D37427" w:rsidP="00D37427">
      <w:pPr>
        <w:pStyle w:val="ListParagraph"/>
        <w:numPr>
          <w:ilvl w:val="0"/>
          <w:numId w:val="5"/>
        </w:numPr>
      </w:pPr>
      <w:r>
        <w:t>Recommend coating area with petrolatum daily until lesions resolve.</w:t>
      </w:r>
    </w:p>
    <w:p w14:paraId="108225EF" w14:textId="77777777" w:rsidR="00D37427" w:rsidRDefault="00D37427" w:rsidP="00D37427">
      <w:pPr>
        <w:pStyle w:val="ListParagraph"/>
        <w:numPr>
          <w:ilvl w:val="0"/>
          <w:numId w:val="5"/>
        </w:numPr>
      </w:pPr>
      <w:r>
        <w:t xml:space="preserve">Do nothing; these lesions seem mild and time will likely heal them. </w:t>
      </w:r>
    </w:p>
    <w:p w14:paraId="6BF5F260" w14:textId="77777777" w:rsidR="00D37427" w:rsidRDefault="00D37427" w:rsidP="00D37427">
      <w:pPr>
        <w:pStyle w:val="ListParagraph"/>
        <w:ind w:left="1080"/>
      </w:pPr>
    </w:p>
    <w:p w14:paraId="556041B0" w14:textId="77777777" w:rsidR="00BE1891" w:rsidRDefault="00BE1891" w:rsidP="000D6C4B">
      <w:r w:rsidRPr="000D6C4B">
        <w:rPr>
          <w:b/>
        </w:rPr>
        <w:t>A- Prescribe mupirocin ointment BID for 5 days.</w:t>
      </w:r>
      <w:r>
        <w:t xml:space="preserve"> This child appears to have impetigo, likely as a secondary infection on top of her eczema. Because this is limited to very local involvement, she can be treated with a topical antibiotic with a BID application for 5 days. </w:t>
      </w:r>
    </w:p>
    <w:p w14:paraId="68C4DDAB" w14:textId="77777777" w:rsidR="00BE1891" w:rsidRDefault="00BE1891" w:rsidP="00BE1891">
      <w:pPr>
        <w:pStyle w:val="ListParagraph"/>
        <w:rPr>
          <w:b/>
        </w:rPr>
      </w:pPr>
    </w:p>
    <w:p w14:paraId="6378D611" w14:textId="77777777" w:rsidR="00BE1891" w:rsidRPr="003E5C40" w:rsidRDefault="00BE1891" w:rsidP="00BE1891">
      <w:pPr>
        <w:pStyle w:val="ListParagraph"/>
        <w:rPr>
          <w:b/>
          <w:u w:val="single"/>
        </w:rPr>
      </w:pPr>
      <w:r w:rsidRPr="003E5C40">
        <w:rPr>
          <w:b/>
          <w:u w:val="single"/>
        </w:rPr>
        <w:t>Impetigo and Ecthyma</w:t>
      </w:r>
    </w:p>
    <w:p w14:paraId="2DB92810" w14:textId="77777777" w:rsidR="00BE1891" w:rsidRDefault="00BE1891" w:rsidP="00BE1891">
      <w:pPr>
        <w:pStyle w:val="ListParagraph"/>
      </w:pPr>
    </w:p>
    <w:p w14:paraId="3342B824" w14:textId="77777777" w:rsidR="00BE1891" w:rsidRDefault="00BE1891" w:rsidP="00BE1891">
      <w:pPr>
        <w:pStyle w:val="ListParagraph"/>
      </w:pPr>
      <w:r>
        <w:t xml:space="preserve">These are both superficial bacterial infections of the skin. Impetigo can either be classified as bullous or non-bullous. They are contagious and most common in children ages 2-5, however can occur in any age, including adults.  Most typically, these do not cause any systemic involvement, however if GAS is the pathogen, then poststreptococcal </w:t>
      </w:r>
      <w:proofErr w:type="spellStart"/>
      <w:r>
        <w:t>glomulonephritis</w:t>
      </w:r>
      <w:proofErr w:type="spellEnd"/>
      <w:r>
        <w:t xml:space="preserve"> and rheumatic fever (rare) have been described as sequelae. </w:t>
      </w:r>
    </w:p>
    <w:p w14:paraId="219F1E1D" w14:textId="77777777" w:rsidR="00BE1891" w:rsidRDefault="00BE1891" w:rsidP="00BE1891">
      <w:pPr>
        <w:pStyle w:val="ListParagraph"/>
      </w:pPr>
    </w:p>
    <w:p w14:paraId="7052FAA0" w14:textId="77777777" w:rsidR="00BE1891" w:rsidRDefault="00BE1891" w:rsidP="00BE1891">
      <w:pPr>
        <w:pStyle w:val="ListParagraph"/>
      </w:pPr>
      <w:r>
        <w:t>Impetigo Bugs: Staph aureus (MSSA &gt;&gt;MRSA)</w:t>
      </w:r>
    </w:p>
    <w:p w14:paraId="3A65BFE4" w14:textId="77777777" w:rsidR="00BE1891" w:rsidRDefault="00BE1891" w:rsidP="00BE1891">
      <w:pPr>
        <w:pStyle w:val="ListParagraph"/>
      </w:pPr>
      <w:r>
        <w:tab/>
        <w:t>Less common: B-hemolytic strep (most often GAS, but can be G or C)</w:t>
      </w:r>
    </w:p>
    <w:p w14:paraId="6C7F59BA" w14:textId="77777777" w:rsidR="00BE1891" w:rsidRDefault="00BE1891" w:rsidP="00BE1891">
      <w:pPr>
        <w:pStyle w:val="ListParagraph"/>
      </w:pPr>
      <w:r>
        <w:t>Ecthyma Bugs: Most often GAS</w:t>
      </w:r>
    </w:p>
    <w:p w14:paraId="6CA234D8" w14:textId="77777777" w:rsidR="00BE1891" w:rsidRDefault="00BE1891" w:rsidP="00BE1891">
      <w:pPr>
        <w:pStyle w:val="ListParagraph"/>
      </w:pPr>
    </w:p>
    <w:p w14:paraId="25D24179" w14:textId="77777777" w:rsidR="00BE1891" w:rsidRDefault="00BE1891" w:rsidP="00BE1891">
      <w:pPr>
        <w:pStyle w:val="ListParagraph"/>
      </w:pPr>
      <w:r w:rsidRPr="00462943">
        <w:rPr>
          <w:u w:val="single"/>
        </w:rPr>
        <w:t>Non-bullous impetigo:</w:t>
      </w:r>
      <w:r>
        <w:t xml:space="preserve"> papules, pustules, vesicles and crusts; classically have “honey” colored crust. Most typically from Staph aureus infection (especially MSSA)</w:t>
      </w:r>
    </w:p>
    <w:p w14:paraId="0E26944E" w14:textId="77777777" w:rsidR="00BE1891" w:rsidRDefault="00BE1891" w:rsidP="00BE1891">
      <w:pPr>
        <w:pStyle w:val="ListParagraph"/>
      </w:pPr>
    </w:p>
    <w:p w14:paraId="7914238A" w14:textId="77777777" w:rsidR="00BE1891" w:rsidRDefault="00BE1891" w:rsidP="00BE1891">
      <w:pPr>
        <w:pStyle w:val="ListParagraph"/>
      </w:pPr>
      <w:r w:rsidRPr="00462943">
        <w:rPr>
          <w:u w:val="single"/>
        </w:rPr>
        <w:lastRenderedPageBreak/>
        <w:t>Bullous Impetigo:</w:t>
      </w:r>
      <w:r>
        <w:t xml:space="preserve"> Same as above but also with bullae; bullae are from exotoxin produced by staph aureus that attack the cell adhesion protein, desmoglein, in the superficial layers of the skin. Vesicles coalesce and form flaccid bullae. Once ruptured, form a brown crust. </w:t>
      </w:r>
    </w:p>
    <w:p w14:paraId="14A44F9C" w14:textId="77777777" w:rsidR="00BE1891" w:rsidRDefault="00BE1891" w:rsidP="00BE1891">
      <w:pPr>
        <w:pStyle w:val="ListParagraph"/>
      </w:pPr>
    </w:p>
    <w:p w14:paraId="7E8ECB7D" w14:textId="77777777" w:rsidR="00BE1891" w:rsidRDefault="00BE1891" w:rsidP="00BE1891">
      <w:pPr>
        <w:pStyle w:val="ListParagraph"/>
      </w:pPr>
      <w:r w:rsidRPr="00462943">
        <w:rPr>
          <w:u w:val="single"/>
        </w:rPr>
        <w:t>Ecthyma</w:t>
      </w:r>
      <w:r>
        <w:t xml:space="preserve">: More commonly from GAS infection. Consist of impetigo that progresses to form crusted ulcerations. Often has a “punched out” appearance with violaceous margins. </w:t>
      </w:r>
    </w:p>
    <w:p w14:paraId="472186FA" w14:textId="77777777" w:rsidR="00BE1891" w:rsidRDefault="00BE1891" w:rsidP="00BE1891">
      <w:pPr>
        <w:pStyle w:val="ListParagraph"/>
      </w:pPr>
    </w:p>
    <w:p w14:paraId="6C43F55E" w14:textId="77777777" w:rsidR="00BE1891" w:rsidRDefault="00BE1891" w:rsidP="00BE1891">
      <w:pPr>
        <w:pStyle w:val="ListParagraph"/>
        <w:rPr>
          <w:u w:val="single"/>
        </w:rPr>
      </w:pPr>
      <w:r w:rsidRPr="007252D0">
        <w:rPr>
          <w:u w:val="single"/>
        </w:rPr>
        <w:t>Work up and Treatment:</w:t>
      </w:r>
    </w:p>
    <w:p w14:paraId="0628FB1B" w14:textId="77777777" w:rsidR="00BE1891" w:rsidRDefault="00BE1891" w:rsidP="00BE1891">
      <w:pPr>
        <w:pStyle w:val="ListParagraph"/>
      </w:pPr>
      <w:r>
        <w:t xml:space="preserve">Commonly a clinical diagnosis based on appearance of lesions and history. </w:t>
      </w:r>
    </w:p>
    <w:p w14:paraId="6D35FA45" w14:textId="77777777" w:rsidR="00BE1891" w:rsidRDefault="00BE1891" w:rsidP="00BE1891">
      <w:pPr>
        <w:pStyle w:val="ListParagraph"/>
      </w:pPr>
    </w:p>
    <w:p w14:paraId="4ACF2380" w14:textId="77777777" w:rsidR="00BE1891" w:rsidRDefault="00BE1891" w:rsidP="00BE1891">
      <w:pPr>
        <w:pStyle w:val="ListParagraph"/>
      </w:pPr>
      <w:r>
        <w:t xml:space="preserve">It is recommended to do a gram stain and culture of the pus from the lesions to help identify organisms (Strep vs Staph-&gt; and MRSA vs MSSA). This will help guide antibiotic choice. </w:t>
      </w:r>
    </w:p>
    <w:p w14:paraId="0791B7DA" w14:textId="77777777" w:rsidR="00BE1891" w:rsidRDefault="00BE1891" w:rsidP="00BE1891">
      <w:pPr>
        <w:pStyle w:val="ListParagraph"/>
      </w:pPr>
    </w:p>
    <w:p w14:paraId="7C46CB35" w14:textId="77777777" w:rsidR="00BE1891" w:rsidRDefault="00BE1891" w:rsidP="00BE1891">
      <w:pPr>
        <w:pStyle w:val="ListParagraph"/>
      </w:pPr>
      <w:r>
        <w:t xml:space="preserve">For very </w:t>
      </w:r>
      <w:r w:rsidRPr="007252D0">
        <w:rPr>
          <w:b/>
        </w:rPr>
        <w:t>localized involvement</w:t>
      </w:r>
      <w:r>
        <w:t xml:space="preserve">, you can treat with topical mupirocin or retapamulin BID for 5 days. </w:t>
      </w:r>
    </w:p>
    <w:p w14:paraId="42EEA61E" w14:textId="77777777" w:rsidR="00BE1891" w:rsidRDefault="00BE1891" w:rsidP="00BE1891">
      <w:pPr>
        <w:pStyle w:val="ListParagraph"/>
      </w:pPr>
    </w:p>
    <w:p w14:paraId="58679C19" w14:textId="77777777" w:rsidR="00BE1891" w:rsidRDefault="00BE1891" w:rsidP="00BE1891">
      <w:pPr>
        <w:pStyle w:val="ListParagraph"/>
      </w:pPr>
      <w:r>
        <w:t xml:space="preserve">For more </w:t>
      </w:r>
      <w:proofErr w:type="gramStart"/>
      <w:r w:rsidRPr="007252D0">
        <w:rPr>
          <w:b/>
        </w:rPr>
        <w:t>spread out</w:t>
      </w:r>
      <w:proofErr w:type="gramEnd"/>
      <w:r w:rsidRPr="007252D0">
        <w:rPr>
          <w:b/>
        </w:rPr>
        <w:t xml:space="preserve"> involvement </w:t>
      </w:r>
      <w:r>
        <w:t xml:space="preserve">or with any systemic signs, oral therapy should be initiated. Since MSSA tends to be the bug involved, cephalexin or dicloxacillin are recommended treatments. If MRSA is suspected or confirmed, then doxycycline, clindamycin or TMP/SMX should be used. The duration of treatment is for 7 days.  See below for chart of full recommendations. </w:t>
      </w:r>
    </w:p>
    <w:p w14:paraId="19DC44B3" w14:textId="77777777" w:rsidR="00BE1891" w:rsidRDefault="00BE1891" w:rsidP="00BE1891">
      <w:pPr>
        <w:pStyle w:val="ListParagraph"/>
      </w:pPr>
    </w:p>
    <w:p w14:paraId="324443CC" w14:textId="77777777" w:rsidR="00BE1891" w:rsidRDefault="00BE1891" w:rsidP="00BE1891">
      <w:pPr>
        <w:pStyle w:val="ListParagraph"/>
      </w:pPr>
      <w:r>
        <w:t xml:space="preserve">Patients are no longer considered contagious once they are 24 hours into their antibiotic course, and can therefore resume their activities as tolerated. They should however have any draining areas covered with dry dressing prior to returning to their activities. </w:t>
      </w:r>
    </w:p>
    <w:p w14:paraId="7FE9A87F" w14:textId="77777777" w:rsidR="00BE1891" w:rsidRDefault="00BE1891" w:rsidP="00BE1891"/>
    <w:p w14:paraId="41F2039A" w14:textId="77777777" w:rsidR="00BE1891" w:rsidRDefault="00BE1891" w:rsidP="00BE1891">
      <w:pPr>
        <w:pStyle w:val="ListParagraph"/>
      </w:pPr>
      <w:r>
        <w:t>Modified From UpToDate:</w:t>
      </w:r>
    </w:p>
    <w:p w14:paraId="7C810156" w14:textId="77777777" w:rsidR="00BE1891" w:rsidRDefault="00BE1891" w:rsidP="00BE1891">
      <w:pPr>
        <w:pStyle w:val="ListParagraph"/>
      </w:pPr>
    </w:p>
    <w:p w14:paraId="7C1D2AA3" w14:textId="77777777" w:rsidR="00BE1891" w:rsidRPr="00590F22" w:rsidRDefault="00BE1891" w:rsidP="00BE1891">
      <w:pPr>
        <w:shd w:val="clear" w:color="auto" w:fill="FFFFFF"/>
        <w:spacing w:line="336" w:lineRule="atLeast"/>
        <w:ind w:left="960"/>
        <w:rPr>
          <w:rFonts w:ascii="Verdana" w:eastAsia="Times New Roman" w:hAnsi="Verdana" w:cs="Helvetica"/>
          <w:b/>
          <w:bCs/>
          <w:sz w:val="24"/>
          <w:szCs w:val="24"/>
          <w:lang w:val="en"/>
        </w:rPr>
      </w:pPr>
      <w:r w:rsidRPr="00590F22">
        <w:rPr>
          <w:rFonts w:ascii="Verdana" w:eastAsia="Times New Roman" w:hAnsi="Verdana" w:cs="Helvetica"/>
          <w:b/>
          <w:bCs/>
          <w:sz w:val="24"/>
          <w:szCs w:val="24"/>
          <w:lang w:val="en"/>
        </w:rPr>
        <w:t>Oral antibiotic therapy for impetigo*</w:t>
      </w:r>
    </w:p>
    <w:tbl>
      <w:tblPr>
        <w:tblW w:w="5000" w:type="pct"/>
        <w:jc w:val="center"/>
        <w:tblBorders>
          <w:right w:val="single" w:sz="6" w:space="0" w:color="000000"/>
        </w:tblBorders>
        <w:tblCellMar>
          <w:left w:w="0" w:type="dxa"/>
          <w:right w:w="0" w:type="dxa"/>
        </w:tblCellMar>
        <w:tblLook w:val="04A0" w:firstRow="1" w:lastRow="0" w:firstColumn="1" w:lastColumn="0" w:noHBand="0" w:noVBand="1"/>
      </w:tblPr>
      <w:tblGrid>
        <w:gridCol w:w="2929"/>
        <w:gridCol w:w="2808"/>
        <w:gridCol w:w="3607"/>
      </w:tblGrid>
      <w:tr w:rsidR="00BE1891" w:rsidRPr="00590F22" w14:paraId="15D56349" w14:textId="77777777" w:rsidTr="00390485">
        <w:trPr>
          <w:jc w:val="center"/>
        </w:trPr>
        <w:tc>
          <w:tcPr>
            <w:tcW w:w="0" w:type="auto"/>
            <w:tcBorders>
              <w:left w:val="single" w:sz="6" w:space="0" w:color="000000"/>
              <w:bottom w:val="single" w:sz="18" w:space="0" w:color="000000"/>
            </w:tcBorders>
            <w:shd w:val="clear" w:color="auto" w:fill="EEEEEE"/>
            <w:tcMar>
              <w:top w:w="120" w:type="dxa"/>
              <w:left w:w="144" w:type="dxa"/>
              <w:bottom w:w="72" w:type="dxa"/>
              <w:right w:w="144" w:type="dxa"/>
            </w:tcMar>
            <w:vAlign w:val="center"/>
            <w:hideMark/>
          </w:tcPr>
          <w:p w14:paraId="05F9ACB9" w14:textId="77777777" w:rsidR="00BE1891" w:rsidRPr="00590F22" w:rsidRDefault="00BE1891" w:rsidP="00390485">
            <w:pPr>
              <w:spacing w:after="0" w:line="360" w:lineRule="atLeast"/>
              <w:jc w:val="center"/>
              <w:rPr>
                <w:rFonts w:ascii="Helvetica" w:eastAsia="Times New Roman" w:hAnsi="Helvetica" w:cs="Helvetica"/>
                <w:b/>
                <w:bCs/>
              </w:rPr>
            </w:pPr>
            <w:r w:rsidRPr="00590F22">
              <w:rPr>
                <w:rFonts w:ascii="Helvetica" w:eastAsia="Times New Roman" w:hAnsi="Helvetica" w:cs="Helvetica"/>
                <w:b/>
                <w:bCs/>
              </w:rPr>
              <w:t>Medication</w:t>
            </w:r>
          </w:p>
        </w:tc>
        <w:tc>
          <w:tcPr>
            <w:tcW w:w="0" w:type="auto"/>
            <w:tcBorders>
              <w:left w:val="single" w:sz="6" w:space="0" w:color="000000"/>
              <w:bottom w:val="single" w:sz="18" w:space="0" w:color="000000"/>
            </w:tcBorders>
            <w:shd w:val="clear" w:color="auto" w:fill="EEEEEE"/>
            <w:tcMar>
              <w:top w:w="120" w:type="dxa"/>
              <w:left w:w="144" w:type="dxa"/>
              <w:bottom w:w="72" w:type="dxa"/>
              <w:right w:w="144" w:type="dxa"/>
            </w:tcMar>
            <w:vAlign w:val="center"/>
            <w:hideMark/>
          </w:tcPr>
          <w:p w14:paraId="5663F246" w14:textId="77777777" w:rsidR="00BE1891" w:rsidRPr="00590F22" w:rsidRDefault="00BE1891" w:rsidP="00390485">
            <w:pPr>
              <w:spacing w:after="0" w:line="360" w:lineRule="atLeast"/>
              <w:jc w:val="center"/>
              <w:rPr>
                <w:rFonts w:ascii="Helvetica" w:eastAsia="Times New Roman" w:hAnsi="Helvetica" w:cs="Helvetica"/>
                <w:b/>
                <w:bCs/>
              </w:rPr>
            </w:pPr>
            <w:r w:rsidRPr="00590F22">
              <w:rPr>
                <w:rFonts w:ascii="Helvetica" w:eastAsia="Times New Roman" w:hAnsi="Helvetica" w:cs="Helvetica"/>
                <w:b/>
                <w:bCs/>
              </w:rPr>
              <w:t>Adult dose</w:t>
            </w:r>
          </w:p>
        </w:tc>
        <w:tc>
          <w:tcPr>
            <w:tcW w:w="0" w:type="auto"/>
            <w:tcBorders>
              <w:left w:val="single" w:sz="6" w:space="0" w:color="000000"/>
              <w:bottom w:val="single" w:sz="18" w:space="0" w:color="000000"/>
            </w:tcBorders>
            <w:shd w:val="clear" w:color="auto" w:fill="EEEEEE"/>
            <w:tcMar>
              <w:top w:w="120" w:type="dxa"/>
              <w:left w:w="144" w:type="dxa"/>
              <w:bottom w:w="72" w:type="dxa"/>
              <w:right w:w="144" w:type="dxa"/>
            </w:tcMar>
            <w:vAlign w:val="center"/>
            <w:hideMark/>
          </w:tcPr>
          <w:p w14:paraId="535242B1" w14:textId="77777777" w:rsidR="00BE1891" w:rsidRPr="00590F22" w:rsidRDefault="00BE1891" w:rsidP="00390485">
            <w:pPr>
              <w:spacing w:after="0" w:line="360" w:lineRule="atLeast"/>
              <w:jc w:val="center"/>
              <w:rPr>
                <w:rFonts w:ascii="Helvetica" w:eastAsia="Times New Roman" w:hAnsi="Helvetica" w:cs="Helvetica"/>
                <w:b/>
                <w:bCs/>
              </w:rPr>
            </w:pPr>
            <w:r w:rsidRPr="00590F22">
              <w:rPr>
                <w:rFonts w:ascii="Helvetica" w:eastAsia="Times New Roman" w:hAnsi="Helvetica" w:cs="Helvetica"/>
                <w:b/>
                <w:bCs/>
              </w:rPr>
              <w:t>Child dose</w:t>
            </w:r>
            <w:r w:rsidRPr="00590F22">
              <w:rPr>
                <w:rFonts w:ascii="Helvetica" w:eastAsia="Times New Roman" w:hAnsi="Helvetica" w:cs="Helvetica"/>
                <w:b/>
                <w:bCs/>
                <w:sz w:val="20"/>
                <w:szCs w:val="20"/>
                <w:vertAlign w:val="superscript"/>
              </w:rPr>
              <w:t>¶</w:t>
            </w:r>
          </w:p>
        </w:tc>
      </w:tr>
      <w:tr w:rsidR="00BE1891" w:rsidRPr="00590F22" w14:paraId="004F5DCE" w14:textId="77777777" w:rsidTr="00390485">
        <w:trPr>
          <w:jc w:val="center"/>
        </w:trPr>
        <w:tc>
          <w:tcPr>
            <w:tcW w:w="0" w:type="auto"/>
            <w:gridSpan w:val="3"/>
            <w:tcBorders>
              <w:left w:val="single" w:sz="6" w:space="0" w:color="000000"/>
              <w:bottom w:val="single" w:sz="6" w:space="0" w:color="555555"/>
            </w:tcBorders>
            <w:tcMar>
              <w:top w:w="96" w:type="dxa"/>
              <w:left w:w="144" w:type="dxa"/>
              <w:bottom w:w="72" w:type="dxa"/>
              <w:right w:w="144" w:type="dxa"/>
            </w:tcMar>
            <w:hideMark/>
          </w:tcPr>
          <w:p w14:paraId="364E98F9" w14:textId="77777777" w:rsidR="00BE1891" w:rsidRPr="00590F22" w:rsidRDefault="00BE1891" w:rsidP="00390485">
            <w:pPr>
              <w:spacing w:after="0" w:line="360" w:lineRule="atLeast"/>
              <w:rPr>
                <w:rFonts w:ascii="Helvetica" w:eastAsia="Times New Roman" w:hAnsi="Helvetica" w:cs="Helvetica"/>
                <w:b/>
                <w:bCs/>
                <w:sz w:val="18"/>
                <w:szCs w:val="18"/>
              </w:rPr>
            </w:pPr>
            <w:r w:rsidRPr="00590F22">
              <w:rPr>
                <w:rFonts w:ascii="Helvetica" w:eastAsia="Times New Roman" w:hAnsi="Helvetica" w:cs="Helvetica"/>
                <w:b/>
                <w:bCs/>
                <w:sz w:val="18"/>
                <w:szCs w:val="18"/>
              </w:rPr>
              <w:t>Preferred</w:t>
            </w:r>
          </w:p>
        </w:tc>
      </w:tr>
      <w:tr w:rsidR="00BE1891" w:rsidRPr="00590F22" w14:paraId="55A86FA5" w14:textId="77777777" w:rsidTr="00390485">
        <w:trPr>
          <w:jc w:val="center"/>
        </w:trPr>
        <w:tc>
          <w:tcPr>
            <w:tcW w:w="0" w:type="auto"/>
            <w:tcBorders>
              <w:left w:val="single" w:sz="6" w:space="0" w:color="000000"/>
              <w:bottom w:val="single" w:sz="6" w:space="0" w:color="CCCCCC"/>
            </w:tcBorders>
            <w:tcMar>
              <w:top w:w="72" w:type="dxa"/>
              <w:left w:w="480" w:type="dxa"/>
              <w:bottom w:w="72" w:type="dxa"/>
              <w:right w:w="144" w:type="dxa"/>
            </w:tcMar>
            <w:hideMark/>
          </w:tcPr>
          <w:p w14:paraId="7FCE570A"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 xml:space="preserve">Cephalexin </w:t>
            </w:r>
            <w:r w:rsidRPr="00590F22">
              <w:rPr>
                <w:rFonts w:ascii="Helvetica" w:eastAsia="Times New Roman" w:hAnsi="Helvetica" w:cs="Helvetica"/>
                <w:b/>
                <w:bCs/>
                <w:sz w:val="18"/>
                <w:szCs w:val="18"/>
              </w:rPr>
              <w:t>or</w:t>
            </w:r>
          </w:p>
        </w:tc>
        <w:tc>
          <w:tcPr>
            <w:tcW w:w="0" w:type="auto"/>
            <w:tcBorders>
              <w:left w:val="single" w:sz="6" w:space="0" w:color="000000"/>
              <w:bottom w:val="single" w:sz="6" w:space="0" w:color="CCCCCC"/>
            </w:tcBorders>
            <w:tcMar>
              <w:top w:w="72" w:type="dxa"/>
              <w:left w:w="144" w:type="dxa"/>
              <w:bottom w:w="72" w:type="dxa"/>
              <w:right w:w="144" w:type="dxa"/>
            </w:tcMar>
            <w:hideMark/>
          </w:tcPr>
          <w:p w14:paraId="29EE051C"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250 to 500 mg 4 times per day</w:t>
            </w:r>
          </w:p>
        </w:tc>
        <w:tc>
          <w:tcPr>
            <w:tcW w:w="0" w:type="auto"/>
            <w:tcBorders>
              <w:left w:val="single" w:sz="6" w:space="0" w:color="000000"/>
              <w:bottom w:val="single" w:sz="6" w:space="0" w:color="CCCCCC"/>
            </w:tcBorders>
            <w:tcMar>
              <w:top w:w="72" w:type="dxa"/>
              <w:left w:w="144" w:type="dxa"/>
              <w:bottom w:w="72" w:type="dxa"/>
              <w:right w:w="144" w:type="dxa"/>
            </w:tcMar>
            <w:hideMark/>
          </w:tcPr>
          <w:p w14:paraId="2B46C962"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25 to 50 mg/kg per day in 3 to 4 divided doses</w:t>
            </w:r>
          </w:p>
        </w:tc>
      </w:tr>
      <w:tr w:rsidR="00BE1891" w:rsidRPr="00590F22" w14:paraId="7898CF88" w14:textId="77777777" w:rsidTr="00390485">
        <w:trPr>
          <w:jc w:val="center"/>
        </w:trPr>
        <w:tc>
          <w:tcPr>
            <w:tcW w:w="0" w:type="auto"/>
            <w:gridSpan w:val="3"/>
            <w:tcBorders>
              <w:left w:val="single" w:sz="6" w:space="0" w:color="000000"/>
              <w:bottom w:val="single" w:sz="6" w:space="0" w:color="555555"/>
            </w:tcBorders>
            <w:tcMar>
              <w:top w:w="96" w:type="dxa"/>
              <w:left w:w="144" w:type="dxa"/>
              <w:bottom w:w="72" w:type="dxa"/>
              <w:right w:w="144" w:type="dxa"/>
            </w:tcMar>
            <w:hideMark/>
          </w:tcPr>
          <w:p w14:paraId="39CFEBE0" w14:textId="77777777" w:rsidR="00BE1891" w:rsidRPr="00590F22" w:rsidRDefault="00BE1891" w:rsidP="00390485">
            <w:pPr>
              <w:spacing w:after="0" w:line="360" w:lineRule="atLeast"/>
              <w:rPr>
                <w:rFonts w:ascii="Helvetica" w:eastAsia="Times New Roman" w:hAnsi="Helvetica" w:cs="Helvetica"/>
                <w:b/>
                <w:bCs/>
                <w:sz w:val="18"/>
                <w:szCs w:val="18"/>
              </w:rPr>
            </w:pPr>
            <w:r w:rsidRPr="00590F22">
              <w:rPr>
                <w:rFonts w:ascii="Helvetica" w:eastAsia="Times New Roman" w:hAnsi="Helvetica" w:cs="Helvetica"/>
                <w:b/>
                <w:bCs/>
                <w:sz w:val="18"/>
                <w:szCs w:val="18"/>
              </w:rPr>
              <w:t>Alternate for penicillin and cephalosporin hypersensitivity</w:t>
            </w:r>
          </w:p>
        </w:tc>
      </w:tr>
      <w:tr w:rsidR="00BE1891" w:rsidRPr="00590F22" w14:paraId="5DAFABB0" w14:textId="77777777" w:rsidTr="00390485">
        <w:trPr>
          <w:jc w:val="center"/>
        </w:trPr>
        <w:tc>
          <w:tcPr>
            <w:tcW w:w="0" w:type="auto"/>
            <w:tcBorders>
              <w:left w:val="single" w:sz="6" w:space="0" w:color="000000"/>
              <w:bottom w:val="single" w:sz="6" w:space="0" w:color="000000"/>
            </w:tcBorders>
            <w:tcMar>
              <w:top w:w="72" w:type="dxa"/>
              <w:left w:w="480" w:type="dxa"/>
              <w:bottom w:w="72" w:type="dxa"/>
              <w:right w:w="144" w:type="dxa"/>
            </w:tcMar>
            <w:hideMark/>
          </w:tcPr>
          <w:p w14:paraId="195E8879"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Clindamycin</w:t>
            </w:r>
            <w:r w:rsidRPr="00590F22">
              <w:rPr>
                <w:rFonts w:ascii="Helvetica" w:eastAsia="Times New Roman" w:hAnsi="Helvetica" w:cs="Helvetica"/>
                <w:sz w:val="16"/>
                <w:szCs w:val="16"/>
                <w:vertAlign w:val="superscript"/>
              </w:rPr>
              <w:t>§</w:t>
            </w:r>
          </w:p>
        </w:tc>
        <w:tc>
          <w:tcPr>
            <w:tcW w:w="0" w:type="auto"/>
            <w:tcBorders>
              <w:left w:val="single" w:sz="6" w:space="0" w:color="000000"/>
              <w:bottom w:val="single" w:sz="6" w:space="0" w:color="000000"/>
            </w:tcBorders>
            <w:tcMar>
              <w:top w:w="72" w:type="dxa"/>
              <w:left w:w="144" w:type="dxa"/>
              <w:bottom w:w="72" w:type="dxa"/>
              <w:right w:w="144" w:type="dxa"/>
            </w:tcMar>
            <w:hideMark/>
          </w:tcPr>
          <w:p w14:paraId="5AA64B5E"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450 mg 3 times per day</w:t>
            </w:r>
          </w:p>
        </w:tc>
        <w:tc>
          <w:tcPr>
            <w:tcW w:w="0" w:type="auto"/>
            <w:tcBorders>
              <w:left w:val="single" w:sz="6" w:space="0" w:color="000000"/>
              <w:bottom w:val="single" w:sz="6" w:space="0" w:color="000000"/>
            </w:tcBorders>
            <w:tcMar>
              <w:top w:w="72" w:type="dxa"/>
              <w:left w:w="144" w:type="dxa"/>
              <w:bottom w:w="72" w:type="dxa"/>
              <w:right w:w="144" w:type="dxa"/>
            </w:tcMar>
            <w:hideMark/>
          </w:tcPr>
          <w:p w14:paraId="38A644F1"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30 mg/kg per day in 3 divided doses</w:t>
            </w:r>
          </w:p>
        </w:tc>
      </w:tr>
      <w:tr w:rsidR="00BE1891" w:rsidRPr="00590F22" w14:paraId="230099F4" w14:textId="77777777" w:rsidTr="00390485">
        <w:trPr>
          <w:jc w:val="center"/>
        </w:trPr>
        <w:tc>
          <w:tcPr>
            <w:tcW w:w="0" w:type="auto"/>
            <w:gridSpan w:val="3"/>
            <w:tcBorders>
              <w:left w:val="single" w:sz="6" w:space="0" w:color="000000"/>
              <w:bottom w:val="single" w:sz="6" w:space="0" w:color="555555"/>
            </w:tcBorders>
            <w:tcMar>
              <w:top w:w="96" w:type="dxa"/>
              <w:left w:w="144" w:type="dxa"/>
              <w:bottom w:w="72" w:type="dxa"/>
              <w:right w:w="144" w:type="dxa"/>
            </w:tcMar>
            <w:hideMark/>
          </w:tcPr>
          <w:p w14:paraId="375A6C7C" w14:textId="77777777" w:rsidR="00BE1891" w:rsidRPr="00590F22" w:rsidRDefault="00BE1891" w:rsidP="00390485">
            <w:pPr>
              <w:spacing w:after="0" w:line="360" w:lineRule="atLeast"/>
              <w:rPr>
                <w:rFonts w:ascii="Helvetica" w:eastAsia="Times New Roman" w:hAnsi="Helvetica" w:cs="Helvetica"/>
                <w:b/>
                <w:bCs/>
                <w:sz w:val="18"/>
                <w:szCs w:val="18"/>
              </w:rPr>
            </w:pPr>
            <w:r w:rsidRPr="00590F22">
              <w:rPr>
                <w:rFonts w:ascii="Helvetica" w:eastAsia="Times New Roman" w:hAnsi="Helvetica" w:cs="Helvetica"/>
                <w:b/>
                <w:bCs/>
                <w:sz w:val="18"/>
                <w:szCs w:val="18"/>
              </w:rPr>
              <w:t>If MRSA is suspected or confirmed</w:t>
            </w:r>
          </w:p>
        </w:tc>
      </w:tr>
      <w:tr w:rsidR="00BE1891" w:rsidRPr="00590F22" w14:paraId="348305A1" w14:textId="77777777" w:rsidTr="00390485">
        <w:trPr>
          <w:jc w:val="center"/>
        </w:trPr>
        <w:tc>
          <w:tcPr>
            <w:tcW w:w="0" w:type="auto"/>
            <w:tcBorders>
              <w:left w:val="single" w:sz="6" w:space="0" w:color="000000"/>
              <w:bottom w:val="single" w:sz="6" w:space="0" w:color="CCCCCC"/>
            </w:tcBorders>
            <w:tcMar>
              <w:top w:w="72" w:type="dxa"/>
              <w:left w:w="480" w:type="dxa"/>
              <w:bottom w:w="72" w:type="dxa"/>
              <w:right w:w="144" w:type="dxa"/>
            </w:tcMar>
            <w:hideMark/>
          </w:tcPr>
          <w:p w14:paraId="691EF55D"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lastRenderedPageBreak/>
              <w:t>Doxycycline</w:t>
            </w:r>
            <w:r w:rsidRPr="00590F22">
              <w:rPr>
                <w:rFonts w:ascii="Helvetica" w:eastAsia="Times New Roman" w:hAnsi="Helvetica" w:cs="Helvetica"/>
                <w:sz w:val="16"/>
                <w:szCs w:val="16"/>
                <w:vertAlign w:val="superscript"/>
              </w:rPr>
              <w:t>◊</w:t>
            </w:r>
            <w:r w:rsidRPr="00590F22">
              <w:rPr>
                <w:rFonts w:ascii="Helvetica" w:eastAsia="Times New Roman" w:hAnsi="Helvetica" w:cs="Helvetica"/>
                <w:b/>
                <w:bCs/>
                <w:sz w:val="18"/>
                <w:szCs w:val="18"/>
              </w:rPr>
              <w:t xml:space="preserve"> or</w:t>
            </w:r>
          </w:p>
        </w:tc>
        <w:tc>
          <w:tcPr>
            <w:tcW w:w="0" w:type="auto"/>
            <w:tcBorders>
              <w:left w:val="single" w:sz="6" w:space="0" w:color="000000"/>
              <w:bottom w:val="single" w:sz="6" w:space="0" w:color="CCCCCC"/>
            </w:tcBorders>
            <w:tcMar>
              <w:top w:w="72" w:type="dxa"/>
              <w:left w:w="144" w:type="dxa"/>
              <w:bottom w:w="72" w:type="dxa"/>
              <w:right w:w="144" w:type="dxa"/>
            </w:tcMar>
            <w:hideMark/>
          </w:tcPr>
          <w:p w14:paraId="63B7D4D0"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 xml:space="preserve">100 mg twice per day </w:t>
            </w:r>
          </w:p>
        </w:tc>
        <w:tc>
          <w:tcPr>
            <w:tcW w:w="0" w:type="auto"/>
            <w:tcBorders>
              <w:left w:val="single" w:sz="6" w:space="0" w:color="000000"/>
              <w:bottom w:val="single" w:sz="6" w:space="0" w:color="CCCCCC"/>
            </w:tcBorders>
            <w:tcMar>
              <w:top w:w="72" w:type="dxa"/>
              <w:left w:w="144" w:type="dxa"/>
              <w:bottom w:w="72" w:type="dxa"/>
              <w:right w:w="144" w:type="dxa"/>
            </w:tcMar>
            <w:hideMark/>
          </w:tcPr>
          <w:p w14:paraId="1E6C1C36"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2 to 4 mg/kg per day in 2 divided doses</w:t>
            </w:r>
          </w:p>
        </w:tc>
      </w:tr>
      <w:tr w:rsidR="00BE1891" w:rsidRPr="00590F22" w14:paraId="658DE6E0" w14:textId="77777777" w:rsidTr="00390485">
        <w:trPr>
          <w:jc w:val="center"/>
        </w:trPr>
        <w:tc>
          <w:tcPr>
            <w:tcW w:w="0" w:type="auto"/>
            <w:tcBorders>
              <w:left w:val="single" w:sz="6" w:space="0" w:color="000000"/>
              <w:bottom w:val="single" w:sz="6" w:space="0" w:color="CCCCCC"/>
            </w:tcBorders>
            <w:tcMar>
              <w:top w:w="72" w:type="dxa"/>
              <w:left w:w="480" w:type="dxa"/>
              <w:bottom w:w="72" w:type="dxa"/>
              <w:right w:w="144" w:type="dxa"/>
            </w:tcMar>
            <w:hideMark/>
          </w:tcPr>
          <w:p w14:paraId="217BCC4E"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 xml:space="preserve">Trimethoprim-sulfamethoxazole </w:t>
            </w:r>
            <w:r w:rsidRPr="00590F22">
              <w:rPr>
                <w:rFonts w:ascii="Helvetica" w:eastAsia="Times New Roman" w:hAnsi="Helvetica" w:cs="Helvetica"/>
                <w:b/>
                <w:bCs/>
                <w:sz w:val="18"/>
                <w:szCs w:val="18"/>
              </w:rPr>
              <w:t>or</w:t>
            </w:r>
          </w:p>
        </w:tc>
        <w:tc>
          <w:tcPr>
            <w:tcW w:w="0" w:type="auto"/>
            <w:tcBorders>
              <w:left w:val="single" w:sz="6" w:space="0" w:color="000000"/>
              <w:bottom w:val="single" w:sz="6" w:space="0" w:color="CCCCCC"/>
            </w:tcBorders>
            <w:tcMar>
              <w:top w:w="72" w:type="dxa"/>
              <w:left w:w="144" w:type="dxa"/>
              <w:bottom w:w="72" w:type="dxa"/>
              <w:right w:w="144" w:type="dxa"/>
            </w:tcMar>
            <w:hideMark/>
          </w:tcPr>
          <w:p w14:paraId="25598582"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1 to 2 double-strength tablets twice per day</w:t>
            </w:r>
          </w:p>
        </w:tc>
        <w:tc>
          <w:tcPr>
            <w:tcW w:w="0" w:type="auto"/>
            <w:tcBorders>
              <w:left w:val="single" w:sz="6" w:space="0" w:color="000000"/>
              <w:bottom w:val="single" w:sz="6" w:space="0" w:color="CCCCCC"/>
            </w:tcBorders>
            <w:tcMar>
              <w:top w:w="72" w:type="dxa"/>
              <w:left w:w="144" w:type="dxa"/>
              <w:bottom w:w="72" w:type="dxa"/>
              <w:right w:w="144" w:type="dxa"/>
            </w:tcMar>
            <w:hideMark/>
          </w:tcPr>
          <w:p w14:paraId="76639667"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8 to 12 mg/kg (trimethoprim) per day in 2 divided doses</w:t>
            </w:r>
          </w:p>
        </w:tc>
      </w:tr>
      <w:tr w:rsidR="00BE1891" w:rsidRPr="00590F22" w14:paraId="3DEEDF93" w14:textId="77777777" w:rsidTr="00390485">
        <w:trPr>
          <w:jc w:val="center"/>
        </w:trPr>
        <w:tc>
          <w:tcPr>
            <w:tcW w:w="0" w:type="auto"/>
            <w:tcBorders>
              <w:left w:val="single" w:sz="6" w:space="0" w:color="000000"/>
              <w:bottom w:val="single" w:sz="6" w:space="0" w:color="CCCCCC"/>
            </w:tcBorders>
            <w:tcMar>
              <w:top w:w="72" w:type="dxa"/>
              <w:left w:w="480" w:type="dxa"/>
              <w:bottom w:w="72" w:type="dxa"/>
              <w:right w:w="144" w:type="dxa"/>
            </w:tcMar>
            <w:hideMark/>
          </w:tcPr>
          <w:p w14:paraId="0FDF0A27"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Clindamycin</w:t>
            </w:r>
            <w:r w:rsidRPr="00590F22">
              <w:rPr>
                <w:rFonts w:ascii="Helvetica" w:eastAsia="Times New Roman" w:hAnsi="Helvetica" w:cs="Helvetica"/>
                <w:sz w:val="16"/>
                <w:szCs w:val="16"/>
                <w:vertAlign w:val="superscript"/>
              </w:rPr>
              <w:t>§</w:t>
            </w:r>
          </w:p>
        </w:tc>
        <w:tc>
          <w:tcPr>
            <w:tcW w:w="0" w:type="auto"/>
            <w:tcBorders>
              <w:left w:val="single" w:sz="6" w:space="0" w:color="000000"/>
              <w:bottom w:val="single" w:sz="6" w:space="0" w:color="CCCCCC"/>
            </w:tcBorders>
            <w:tcMar>
              <w:top w:w="72" w:type="dxa"/>
              <w:left w:w="144" w:type="dxa"/>
              <w:bottom w:w="72" w:type="dxa"/>
              <w:right w:w="144" w:type="dxa"/>
            </w:tcMar>
            <w:hideMark/>
          </w:tcPr>
          <w:p w14:paraId="7A95276C"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450 mg 3 times per day</w:t>
            </w:r>
          </w:p>
        </w:tc>
        <w:tc>
          <w:tcPr>
            <w:tcW w:w="0" w:type="auto"/>
            <w:tcBorders>
              <w:left w:val="single" w:sz="6" w:space="0" w:color="000000"/>
              <w:bottom w:val="single" w:sz="6" w:space="0" w:color="CCCCCC"/>
            </w:tcBorders>
            <w:tcMar>
              <w:top w:w="72" w:type="dxa"/>
              <w:left w:w="144" w:type="dxa"/>
              <w:bottom w:w="72" w:type="dxa"/>
              <w:right w:w="144" w:type="dxa"/>
            </w:tcMar>
            <w:hideMark/>
          </w:tcPr>
          <w:p w14:paraId="47164F59" w14:textId="77777777" w:rsidR="00BE1891" w:rsidRPr="00590F22" w:rsidRDefault="00BE1891" w:rsidP="00390485">
            <w:pPr>
              <w:spacing w:after="0" w:line="360" w:lineRule="atLeast"/>
              <w:rPr>
                <w:rFonts w:ascii="Helvetica" w:eastAsia="Times New Roman" w:hAnsi="Helvetica" w:cs="Helvetica"/>
                <w:sz w:val="18"/>
                <w:szCs w:val="18"/>
              </w:rPr>
            </w:pPr>
            <w:r w:rsidRPr="00590F22">
              <w:rPr>
                <w:rFonts w:ascii="Helvetica" w:eastAsia="Times New Roman" w:hAnsi="Helvetica" w:cs="Helvetica"/>
                <w:sz w:val="18"/>
                <w:szCs w:val="18"/>
              </w:rPr>
              <w:t>30 mg/kg per day in 3 divided doses</w:t>
            </w:r>
          </w:p>
        </w:tc>
      </w:tr>
    </w:tbl>
    <w:p w14:paraId="1003E6DE" w14:textId="77777777" w:rsidR="00BE1891" w:rsidRPr="00590F22" w:rsidRDefault="00BE1891" w:rsidP="00BE1891">
      <w:pPr>
        <w:shd w:val="clear" w:color="auto" w:fill="FFFFFF"/>
        <w:spacing w:after="0" w:line="360" w:lineRule="atLeast"/>
        <w:ind w:left="960"/>
        <w:rPr>
          <w:rFonts w:ascii="Verdana" w:eastAsia="Times New Roman" w:hAnsi="Verdana" w:cs="Helvetica"/>
          <w:sz w:val="19"/>
          <w:szCs w:val="19"/>
          <w:lang w:val="en"/>
        </w:rPr>
      </w:pPr>
      <w:r w:rsidRPr="00590F22">
        <w:rPr>
          <w:rFonts w:ascii="Verdana" w:eastAsia="Times New Roman" w:hAnsi="Verdana" w:cs="Helvetica"/>
          <w:sz w:val="19"/>
          <w:szCs w:val="19"/>
          <w:lang w:val="en"/>
        </w:rPr>
        <w:t>Oral antibiotic therapy is indicated for ecthyma, impetigo with numerous lesions, or to control transmission during outbreaks. A 7-day course of oral antibiotic treatment is recommended.</w:t>
      </w:r>
    </w:p>
    <w:p w14:paraId="00BC8BAC" w14:textId="77777777" w:rsidR="00BE1891" w:rsidRPr="00590F22" w:rsidRDefault="00BE1891" w:rsidP="00BE1891">
      <w:pPr>
        <w:shd w:val="clear" w:color="auto" w:fill="FFFFFF"/>
        <w:spacing w:line="360" w:lineRule="atLeast"/>
        <w:ind w:left="960"/>
        <w:rPr>
          <w:rFonts w:ascii="Verdana" w:eastAsia="Times New Roman" w:hAnsi="Verdana" w:cs="Helvetica"/>
          <w:sz w:val="18"/>
          <w:szCs w:val="18"/>
          <w:lang w:val="en"/>
        </w:rPr>
      </w:pPr>
      <w:r w:rsidRPr="00590F22">
        <w:rPr>
          <w:rFonts w:ascii="Verdana" w:eastAsia="Times New Roman" w:hAnsi="Verdana" w:cs="Helvetica"/>
          <w:sz w:val="18"/>
          <w:szCs w:val="18"/>
          <w:lang w:val="en"/>
        </w:rPr>
        <w:t xml:space="preserve">MRSA: methicillin-resistant </w:t>
      </w:r>
      <w:r w:rsidRPr="00590F22">
        <w:rPr>
          <w:rFonts w:ascii="Verdana" w:eastAsia="Times New Roman" w:hAnsi="Verdana" w:cs="Helvetica"/>
          <w:i/>
          <w:iCs/>
          <w:sz w:val="18"/>
          <w:szCs w:val="18"/>
          <w:lang w:val="en"/>
        </w:rPr>
        <w:t>Staphylococcus aureus</w:t>
      </w:r>
      <w:r w:rsidRPr="00590F22">
        <w:rPr>
          <w:rFonts w:ascii="Verdana" w:eastAsia="Times New Roman" w:hAnsi="Verdana" w:cs="Helvetica"/>
          <w:sz w:val="18"/>
          <w:szCs w:val="18"/>
          <w:lang w:val="en"/>
        </w:rPr>
        <w:t>.</w:t>
      </w:r>
      <w:r w:rsidRPr="00590F22">
        <w:rPr>
          <w:rFonts w:ascii="Verdana" w:eastAsia="Times New Roman" w:hAnsi="Verdana" w:cs="Helvetica"/>
          <w:sz w:val="18"/>
          <w:szCs w:val="18"/>
          <w:lang w:val="en"/>
        </w:rPr>
        <w:br/>
        <w:t>* Doses listed in table are for patients with normal renal function; the doses of some agents must be adjusted in patients with renal insufficiency.</w:t>
      </w:r>
      <w:r w:rsidRPr="00590F22">
        <w:rPr>
          <w:rFonts w:ascii="Verdana" w:eastAsia="Times New Roman" w:hAnsi="Verdana" w:cs="Helvetica"/>
          <w:sz w:val="18"/>
          <w:szCs w:val="18"/>
          <w:lang w:val="en"/>
        </w:rPr>
        <w:br/>
        <w:t>¶ Maximum single dose should not exceed dose for adults.</w:t>
      </w:r>
      <w:r w:rsidRPr="00590F22">
        <w:rPr>
          <w:rFonts w:ascii="Verdana" w:eastAsia="Times New Roman" w:hAnsi="Verdana" w:cs="Helvetica"/>
          <w:sz w:val="18"/>
          <w:szCs w:val="18"/>
          <w:lang w:val="en"/>
        </w:rPr>
        <w:br/>
        <w:t xml:space="preserve">Δ Some strains of </w:t>
      </w:r>
      <w:r w:rsidRPr="00590F22">
        <w:rPr>
          <w:rFonts w:ascii="Verdana" w:eastAsia="Times New Roman" w:hAnsi="Verdana" w:cs="Helvetica"/>
          <w:i/>
          <w:iCs/>
          <w:sz w:val="18"/>
          <w:szCs w:val="18"/>
          <w:lang w:val="en"/>
        </w:rPr>
        <w:t>Staphylococcus aureus</w:t>
      </w:r>
      <w:r w:rsidRPr="00590F22">
        <w:rPr>
          <w:rFonts w:ascii="Verdana" w:eastAsia="Times New Roman" w:hAnsi="Verdana" w:cs="Helvetica"/>
          <w:sz w:val="18"/>
          <w:szCs w:val="18"/>
          <w:lang w:val="en"/>
        </w:rPr>
        <w:t xml:space="preserve"> and beta-hemolytic streptococci may be resistant to macrolides.</w:t>
      </w:r>
      <w:r w:rsidRPr="00590F22">
        <w:rPr>
          <w:rFonts w:ascii="Verdana" w:eastAsia="Times New Roman" w:hAnsi="Verdana" w:cs="Helvetica"/>
          <w:sz w:val="18"/>
          <w:szCs w:val="18"/>
          <w:lang w:val="en"/>
        </w:rPr>
        <w:br/>
        <w:t>◊ Although tetracyclines can cause permanent tooth discoloration in children younger than 8 years, doxycycline binds less to calcium than do other tetracyclines. Therefore, short courses of doxycycline (21 days or less) can be given to children who fall within this age group.</w:t>
      </w:r>
      <w:r w:rsidRPr="00590F22">
        <w:rPr>
          <w:rFonts w:ascii="Verdana" w:eastAsia="Times New Roman" w:hAnsi="Verdana" w:cs="Helvetica"/>
          <w:sz w:val="18"/>
          <w:szCs w:val="18"/>
          <w:lang w:val="en"/>
        </w:rPr>
        <w:br/>
        <w:t>§ Potential cross resistance in erythromycin-resistant isolates; inducible resistance in MRSA.</w:t>
      </w:r>
    </w:p>
    <w:p w14:paraId="5C4701BA" w14:textId="77777777" w:rsidR="00BE1891" w:rsidRDefault="00BE1891" w:rsidP="00D37427">
      <w:pPr>
        <w:pStyle w:val="ListParagraph"/>
        <w:pBdr>
          <w:bottom w:val="single" w:sz="12" w:space="1" w:color="auto"/>
        </w:pBdr>
        <w:ind w:left="1080"/>
      </w:pPr>
    </w:p>
    <w:p w14:paraId="2B1A17E9" w14:textId="77777777" w:rsidR="00BE1891" w:rsidRDefault="00BE1891" w:rsidP="00BE1891">
      <w:pPr>
        <w:pStyle w:val="ListParagraph"/>
        <w:ind w:left="0"/>
      </w:pPr>
    </w:p>
    <w:p w14:paraId="231414B2" w14:textId="77777777" w:rsidR="00D37427" w:rsidRDefault="00D37427" w:rsidP="00D37427">
      <w:r w:rsidRPr="00BE1891">
        <w:rPr>
          <w:b/>
        </w:rPr>
        <w:t>4</w:t>
      </w:r>
      <w:r>
        <w:t xml:space="preserve">.  An </w:t>
      </w:r>
      <w:proofErr w:type="gramStart"/>
      <w:r>
        <w:t>11 year old</w:t>
      </w:r>
      <w:proofErr w:type="gramEnd"/>
      <w:r>
        <w:t xml:space="preserve"> boy comes into the ED with the chief complaint of a fever and ankle wound. His symptoms started yesterday when he started having worsening pain around a cut that was on his ankle. He obtained the cut after accidentally tripping on a lawn chair about 1 week ago. The lesion was healing well, until yesterday when it seemed to get abruptly worse. The fever started this morning, which prompted his parents to take him to the Emergency Room. </w:t>
      </w:r>
    </w:p>
    <w:p w14:paraId="546ABC57" w14:textId="77777777" w:rsidR="00D37427" w:rsidRDefault="00D37427" w:rsidP="00D37427">
      <w:r>
        <w:t xml:space="preserve">He has been otherwise healthy and up to date on his vaccines. He is very active and has been playing outside every day this summer. He went to the beach with his family yesterday where he was climbing on rocks in the water. No one else in his family has similar symptoms. </w:t>
      </w:r>
    </w:p>
    <w:p w14:paraId="1DC840FB" w14:textId="77777777" w:rsidR="00D37427" w:rsidRDefault="00D37427" w:rsidP="00D37427">
      <w:r>
        <w:t xml:space="preserve">On physical exam, you see a well appearing boy. He has some mild tachycardia and is febrile to 38 (100.4), but his BP and RR are normal. On his left ankle there is a weepy scab with an area of surrounding erythema and developing bullae. The area is warm to the touch and very tender to palpation. There is no streaking. The remainder of his skin exam is normal. </w:t>
      </w:r>
    </w:p>
    <w:p w14:paraId="26719BD3" w14:textId="77777777" w:rsidR="00D37427" w:rsidRDefault="00D37427" w:rsidP="00D37427">
      <w:r>
        <w:t>Of the following, which should you be most concerned about with the above infection.</w:t>
      </w:r>
    </w:p>
    <w:p w14:paraId="6F73C1CB" w14:textId="77777777" w:rsidR="00D37427" w:rsidRDefault="00D37427" w:rsidP="00D37427">
      <w:pPr>
        <w:pStyle w:val="ListParagraph"/>
        <w:numPr>
          <w:ilvl w:val="0"/>
          <w:numId w:val="6"/>
        </w:numPr>
      </w:pPr>
      <w:r>
        <w:t xml:space="preserve">Necrotizing fasciitis </w:t>
      </w:r>
    </w:p>
    <w:p w14:paraId="46DE8846" w14:textId="77777777" w:rsidR="00D37427" w:rsidRDefault="00D37427" w:rsidP="00D37427">
      <w:pPr>
        <w:pStyle w:val="ListParagraph"/>
        <w:numPr>
          <w:ilvl w:val="0"/>
          <w:numId w:val="6"/>
        </w:numPr>
      </w:pPr>
      <w:r>
        <w:t>MRSA</w:t>
      </w:r>
    </w:p>
    <w:p w14:paraId="621EC543" w14:textId="77777777" w:rsidR="00D37427" w:rsidRDefault="00D37427" w:rsidP="00D37427">
      <w:pPr>
        <w:pStyle w:val="ListParagraph"/>
        <w:numPr>
          <w:ilvl w:val="0"/>
          <w:numId w:val="6"/>
        </w:numPr>
      </w:pPr>
      <w:r>
        <w:lastRenderedPageBreak/>
        <w:t>Underlying skin disorder</w:t>
      </w:r>
    </w:p>
    <w:p w14:paraId="51828164" w14:textId="77777777" w:rsidR="00D37427" w:rsidRDefault="00D37427" w:rsidP="00D37427">
      <w:pPr>
        <w:pStyle w:val="ListParagraph"/>
        <w:numPr>
          <w:ilvl w:val="0"/>
          <w:numId w:val="6"/>
        </w:numPr>
      </w:pPr>
      <w:r>
        <w:t>Parasitic infection</w:t>
      </w:r>
    </w:p>
    <w:p w14:paraId="16AAC24E" w14:textId="77777777" w:rsidR="00D37427" w:rsidRDefault="00D37427" w:rsidP="00D37427"/>
    <w:p w14:paraId="2FECF02C" w14:textId="77777777" w:rsidR="00D37427" w:rsidRDefault="00D37427" w:rsidP="00BE1891">
      <w:r w:rsidRPr="00BE1891">
        <w:rPr>
          <w:b/>
        </w:rPr>
        <w:t xml:space="preserve">A. </w:t>
      </w:r>
      <w:r w:rsidR="00BE1891" w:rsidRPr="00BE1891">
        <w:rPr>
          <w:b/>
        </w:rPr>
        <w:t>Necrotizing fasciitis</w:t>
      </w:r>
      <w:r w:rsidR="00BE1891">
        <w:t xml:space="preserve">. </w:t>
      </w:r>
      <w:r>
        <w:t xml:space="preserve">The boy in the vignette has been infected with </w:t>
      </w:r>
      <w:r w:rsidRPr="00BE1891">
        <w:rPr>
          <w:i/>
        </w:rPr>
        <w:t>Vibrio vulnificus</w:t>
      </w:r>
      <w:r>
        <w:t xml:space="preserve"> after playing in the ocean with an open wound. The rapid progression of his ankle infection with the sudden development of erythema with a </w:t>
      </w:r>
      <w:proofErr w:type="gramStart"/>
      <w:r>
        <w:t>bullae</w:t>
      </w:r>
      <w:proofErr w:type="gramEnd"/>
      <w:r>
        <w:t xml:space="preserve"> should make you concerned for necrotizing fasciitis, a potential consequence of </w:t>
      </w:r>
      <w:r w:rsidRPr="00BE1891">
        <w:rPr>
          <w:i/>
        </w:rPr>
        <w:t>Vibrio vulnificus</w:t>
      </w:r>
      <w:r>
        <w:t xml:space="preserve"> wound infections. </w:t>
      </w:r>
      <w:r w:rsidRPr="00BE1891">
        <w:rPr>
          <w:i/>
        </w:rPr>
        <w:t>V. vulnificus</w:t>
      </w:r>
      <w:r>
        <w:t xml:space="preserve"> is a </w:t>
      </w:r>
      <w:proofErr w:type="gramStart"/>
      <w:r>
        <w:t>gram negative</w:t>
      </w:r>
      <w:proofErr w:type="gramEnd"/>
      <w:r>
        <w:t xml:space="preserve"> bacteria that is often found in warm coastal seawater often where shellfish such as oysters reside.  </w:t>
      </w:r>
      <w:proofErr w:type="gramStart"/>
      <w:r>
        <w:t>This bacteria</w:t>
      </w:r>
      <w:proofErr w:type="gramEnd"/>
      <w:r>
        <w:t xml:space="preserve"> can cause rapidly progressing skin infections, particularly necrotizing fasciitis. These skin infections can be so profound that they quickly can progress to septic shock and multi-system organ failure. For the most part, these infections tend to affect adults with co-morbidities, especially liver issues (</w:t>
      </w:r>
      <w:proofErr w:type="spellStart"/>
      <w:r>
        <w:t>ie</w:t>
      </w:r>
      <w:proofErr w:type="spellEnd"/>
      <w:r>
        <w:t xml:space="preserve">: cirrhosis). The mortality rate associated with patients that develop septic shock is 50%. </w:t>
      </w:r>
    </w:p>
    <w:p w14:paraId="2FC6868D" w14:textId="77777777" w:rsidR="00D37427" w:rsidRDefault="00D37427" w:rsidP="00D37427">
      <w:r>
        <w:t xml:space="preserve">Clinical signs that should raise your suspicion for necrotizing fasciitis include dusky colored bullous skin lesions, rapidly progressing cellulitis, “wooden-hard” induration of subcutaneous tissues, crepitus, significant edema with discoloration or gangrene. There may be decreased or no sensation to the involved tissue or severe pain out of proportion to how the tissue currently appears. Unlike cellulitis where there </w:t>
      </w:r>
      <w:proofErr w:type="gramStart"/>
      <w:r>
        <w:t>is</w:t>
      </w:r>
      <w:proofErr w:type="gramEnd"/>
      <w:r>
        <w:t xml:space="preserve"> discernable palpable differences between muscle and superficial fascia/skin, in necrotizing fasciitis the fascial planes cannot be differentiated. In areas where there is an open wound, the tissue is readily torn with a blunt object. There </w:t>
      </w:r>
      <w:proofErr w:type="gramStart"/>
      <w:r>
        <w:t>is</w:t>
      </w:r>
      <w:proofErr w:type="gramEnd"/>
      <w:r>
        <w:t xml:space="preserve"> also often systemic signs of infection such as fever, rigors, and chills. </w:t>
      </w:r>
    </w:p>
    <w:p w14:paraId="6E249C65" w14:textId="77777777" w:rsidR="00D37427" w:rsidRDefault="00D37427" w:rsidP="00D37427">
      <w:r>
        <w:t xml:space="preserve">Work-up includes wound culture, V. Vulnificus PCR from wound site, CBC, and blood culture. Inflammatory markers can be helpful if you are worried about potential developing sepsis. If you suspect necrotizing fasciitis, then you should also obtain CBC, blood culture (both before and after initiating antibiotics), CMP, PT, PTT, CK, and lactate. You could consider getting imaging (CT) assess for gas, however this should not delay treatment in any way. </w:t>
      </w:r>
    </w:p>
    <w:p w14:paraId="0D90D258" w14:textId="77777777" w:rsidR="00D37427" w:rsidRDefault="00D37427" w:rsidP="00D37427">
      <w:r>
        <w:t xml:space="preserve">For necrotizing fasciitis, because this is a fast spreading deep infection, involving the subcutaneous tissue including superficial fascia and occasionally muscle, prompt surgical evaluation is important. Broad spectrum empiric antibiotics should also be initiated such as vancomycin or linezolid PLUS piperacillin-tazobactam or a carbapenem PLUS Clindamycin (for its antitoxin effects on streptococci and staphylococci. </w:t>
      </w:r>
    </w:p>
    <w:p w14:paraId="07E232FE" w14:textId="77777777" w:rsidR="00D37427" w:rsidRPr="00117B75" w:rsidRDefault="00D37427" w:rsidP="00D37427">
      <w:r>
        <w:t xml:space="preserve">For </w:t>
      </w:r>
      <w:r w:rsidRPr="00117B75">
        <w:rPr>
          <w:i/>
        </w:rPr>
        <w:t>V. vulnificus</w:t>
      </w:r>
      <w:r>
        <w:rPr>
          <w:i/>
        </w:rPr>
        <w:t xml:space="preserve"> </w:t>
      </w:r>
      <w:r>
        <w:t xml:space="preserve">necrotizing fasciitis, it is recommended to use doxycycline PLUS either ceftriaxone or cefotaxime. </w:t>
      </w:r>
    </w:p>
    <w:p w14:paraId="0BCAF685" w14:textId="77777777" w:rsidR="00D37427" w:rsidRDefault="00D37427" w:rsidP="00D37427"/>
    <w:p w14:paraId="0460014B" w14:textId="77777777" w:rsidR="00D37427" w:rsidRDefault="00D37427" w:rsidP="00D37427">
      <w:r w:rsidRPr="007F44DA">
        <w:rPr>
          <w:noProof/>
        </w:rPr>
        <w:lastRenderedPageBreak/>
        <w:drawing>
          <wp:inline distT="0" distB="0" distL="0" distR="0" wp14:anchorId="39E23E82" wp14:editId="3784C1F7">
            <wp:extent cx="5527582" cy="4176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1428" cy="4179301"/>
                    </a:xfrm>
                    <a:prstGeom prst="rect">
                      <a:avLst/>
                    </a:prstGeom>
                    <a:noFill/>
                    <a:ln>
                      <a:noFill/>
                    </a:ln>
                  </pic:spPr>
                </pic:pic>
              </a:graphicData>
            </a:graphic>
          </wp:inline>
        </w:drawing>
      </w:r>
    </w:p>
    <w:p w14:paraId="721E5DD4" w14:textId="77777777" w:rsidR="00D37427" w:rsidRDefault="00D37427" w:rsidP="00D37427"/>
    <w:p w14:paraId="12028814" w14:textId="77777777" w:rsidR="00D37427" w:rsidRDefault="00D37427" w:rsidP="00D37427">
      <w:r>
        <w:t>Image from 2014 IDSA Clinical Practice Guidelines</w:t>
      </w:r>
    </w:p>
    <w:p w14:paraId="062B16B3" w14:textId="77777777" w:rsidR="00D37427" w:rsidRPr="00A14DBE" w:rsidRDefault="00D37427" w:rsidP="00D37427">
      <w:pPr>
        <w:rPr>
          <w:u w:val="single"/>
        </w:rPr>
      </w:pPr>
      <w:r w:rsidRPr="00A14DBE">
        <w:rPr>
          <w:u w:val="single"/>
        </w:rPr>
        <w:t>References:</w:t>
      </w:r>
    </w:p>
    <w:p w14:paraId="3E1283AE" w14:textId="77777777" w:rsidR="00D37427" w:rsidRDefault="00D37427" w:rsidP="00D37427">
      <w:r>
        <w:t xml:space="preserve">Morris, J Glenn. “Vibrio vulnificus infections”. UpToDate article, last updated January 24 2019. </w:t>
      </w:r>
    </w:p>
    <w:p w14:paraId="67527BF5" w14:textId="77777777" w:rsidR="00D37427" w:rsidRDefault="00D37427" w:rsidP="00D37427">
      <w:r>
        <w:t>Stevens, Dennis et al. “Practice Guidelines for the Diagnosis and Management of Skin and Soft Tissue Infections: 204 Update by the Infectious Diseases Society of America”. Clinical Infectious Diseases, 2014.</w:t>
      </w:r>
    </w:p>
    <w:p w14:paraId="626A465C" w14:textId="77777777" w:rsidR="00D37427" w:rsidRDefault="00D37427" w:rsidP="00D37427">
      <w:r>
        <w:t xml:space="preserve">Powell, Keith R. “Challenging Cases is Pediatric Infectious Disease”. Volume 1. American Academy of Pediatrics, 2007. </w:t>
      </w:r>
    </w:p>
    <w:p w14:paraId="221A27E4" w14:textId="77777777" w:rsidR="00D37427" w:rsidRDefault="00D37427" w:rsidP="00D37427">
      <w:r>
        <w:t xml:space="preserve">Raff, Adam B, </w:t>
      </w:r>
      <w:proofErr w:type="spellStart"/>
      <w:r>
        <w:t>Kroshinsky</w:t>
      </w:r>
      <w:proofErr w:type="spellEnd"/>
      <w:r>
        <w:t xml:space="preserve">, Daniela. “Cellulitis, A Review”. JAMA, July 19 2016. </w:t>
      </w:r>
    </w:p>
    <w:p w14:paraId="607921F4" w14:textId="77777777" w:rsidR="00D37427" w:rsidRDefault="00D37427" w:rsidP="00D37427">
      <w:r>
        <w:t xml:space="preserve">Steven, Dennis L, </w:t>
      </w:r>
      <w:proofErr w:type="spellStart"/>
      <w:r>
        <w:t>Baddour</w:t>
      </w:r>
      <w:proofErr w:type="spellEnd"/>
      <w:r>
        <w:t xml:space="preserve"> Larry M. “Necrotizing soft tissue infections”. UpToDate article, last updated February 28, 2020.</w:t>
      </w:r>
    </w:p>
    <w:p w14:paraId="22187C76" w14:textId="77777777" w:rsidR="00D37427" w:rsidRDefault="00D37427" w:rsidP="00D37427">
      <w:r>
        <w:t xml:space="preserve">Spelman, Denis, </w:t>
      </w:r>
      <w:proofErr w:type="spellStart"/>
      <w:r>
        <w:t>Baddour</w:t>
      </w:r>
      <w:proofErr w:type="spellEnd"/>
      <w:r>
        <w:t>, Larry M. “Cellulitis and skin abscesses: Clinical Manifestations and diagnosis”. UpToDate article, last updated March 28 2019.</w:t>
      </w:r>
    </w:p>
    <w:p w14:paraId="206B8725" w14:textId="77777777" w:rsidR="00AD0D0B" w:rsidRDefault="00D37427">
      <w:r>
        <w:t xml:space="preserve">Strom, Mark S, </w:t>
      </w:r>
      <w:proofErr w:type="spellStart"/>
      <w:r>
        <w:t>Paranjpye</w:t>
      </w:r>
      <w:proofErr w:type="spellEnd"/>
      <w:r>
        <w:t xml:space="preserve">, </w:t>
      </w:r>
      <w:proofErr w:type="spellStart"/>
      <w:r>
        <w:t>Rohinee</w:t>
      </w:r>
      <w:proofErr w:type="spellEnd"/>
      <w:r>
        <w:t xml:space="preserve"> N. “Epidemiology and pathogenesis of </w:t>
      </w:r>
      <w:r w:rsidRPr="00A21A13">
        <w:rPr>
          <w:i/>
        </w:rPr>
        <w:t>Vibrio vulnificus</w:t>
      </w:r>
      <w:r>
        <w:t xml:space="preserve">”.  Microbes and Infection, February 2000. </w:t>
      </w:r>
    </w:p>
    <w:sectPr w:rsidR="00AD0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726C"/>
    <w:multiLevelType w:val="hybridMultilevel"/>
    <w:tmpl w:val="EFBA62AA"/>
    <w:lvl w:ilvl="0" w:tplc="0CC8A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553C66"/>
    <w:multiLevelType w:val="hybridMultilevel"/>
    <w:tmpl w:val="78F26F4E"/>
    <w:lvl w:ilvl="0" w:tplc="31A888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D94760"/>
    <w:multiLevelType w:val="hybridMultilevel"/>
    <w:tmpl w:val="5C14F254"/>
    <w:lvl w:ilvl="0" w:tplc="75780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354F9D"/>
    <w:multiLevelType w:val="hybridMultilevel"/>
    <w:tmpl w:val="84648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44D32"/>
    <w:multiLevelType w:val="hybridMultilevel"/>
    <w:tmpl w:val="3E9C4B30"/>
    <w:lvl w:ilvl="0" w:tplc="CF1619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C06C73"/>
    <w:multiLevelType w:val="hybridMultilevel"/>
    <w:tmpl w:val="13DE9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634973">
    <w:abstractNumId w:val="4"/>
  </w:num>
  <w:num w:numId="2" w16cid:durableId="131598479">
    <w:abstractNumId w:val="1"/>
  </w:num>
  <w:num w:numId="3" w16cid:durableId="99187779">
    <w:abstractNumId w:val="5"/>
  </w:num>
  <w:num w:numId="4" w16cid:durableId="841163141">
    <w:abstractNumId w:val="2"/>
  </w:num>
  <w:num w:numId="5" w16cid:durableId="1482309418">
    <w:abstractNumId w:val="0"/>
  </w:num>
  <w:num w:numId="6" w16cid:durableId="88738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27"/>
    <w:rsid w:val="00033D06"/>
    <w:rsid w:val="000356E5"/>
    <w:rsid w:val="0005262B"/>
    <w:rsid w:val="000577B6"/>
    <w:rsid w:val="0006029A"/>
    <w:rsid w:val="00093921"/>
    <w:rsid w:val="00093A7E"/>
    <w:rsid w:val="000B3DD7"/>
    <w:rsid w:val="000C0A46"/>
    <w:rsid w:val="000D6C4B"/>
    <w:rsid w:val="000E1304"/>
    <w:rsid w:val="000E1A79"/>
    <w:rsid w:val="00101AB2"/>
    <w:rsid w:val="00132E99"/>
    <w:rsid w:val="001356F4"/>
    <w:rsid w:val="0016345C"/>
    <w:rsid w:val="001738C7"/>
    <w:rsid w:val="00173FAB"/>
    <w:rsid w:val="00175A40"/>
    <w:rsid w:val="0019626F"/>
    <w:rsid w:val="001A0E4F"/>
    <w:rsid w:val="001B7859"/>
    <w:rsid w:val="001C782E"/>
    <w:rsid w:val="001D0D04"/>
    <w:rsid w:val="001F7237"/>
    <w:rsid w:val="00206B07"/>
    <w:rsid w:val="002129B0"/>
    <w:rsid w:val="00231CE4"/>
    <w:rsid w:val="00247080"/>
    <w:rsid w:val="00253B7F"/>
    <w:rsid w:val="002549A9"/>
    <w:rsid w:val="00264B25"/>
    <w:rsid w:val="00270DB3"/>
    <w:rsid w:val="00277C78"/>
    <w:rsid w:val="002A621B"/>
    <w:rsid w:val="002B7003"/>
    <w:rsid w:val="002C0674"/>
    <w:rsid w:val="002C7AAF"/>
    <w:rsid w:val="002F1A6F"/>
    <w:rsid w:val="002F2E12"/>
    <w:rsid w:val="00313B49"/>
    <w:rsid w:val="003150AE"/>
    <w:rsid w:val="00317552"/>
    <w:rsid w:val="00350115"/>
    <w:rsid w:val="003978EE"/>
    <w:rsid w:val="003A01B4"/>
    <w:rsid w:val="003A7B2F"/>
    <w:rsid w:val="003C7F78"/>
    <w:rsid w:val="003F0121"/>
    <w:rsid w:val="003F5379"/>
    <w:rsid w:val="00403AC6"/>
    <w:rsid w:val="0041022F"/>
    <w:rsid w:val="00420FC2"/>
    <w:rsid w:val="00452C81"/>
    <w:rsid w:val="00464FBF"/>
    <w:rsid w:val="004756EA"/>
    <w:rsid w:val="00485BB9"/>
    <w:rsid w:val="004A3A4E"/>
    <w:rsid w:val="004B7D3A"/>
    <w:rsid w:val="004E3BFF"/>
    <w:rsid w:val="004E7FBF"/>
    <w:rsid w:val="004F53F6"/>
    <w:rsid w:val="00531474"/>
    <w:rsid w:val="00535E1D"/>
    <w:rsid w:val="005759FA"/>
    <w:rsid w:val="005819C1"/>
    <w:rsid w:val="005C2241"/>
    <w:rsid w:val="005C7E8A"/>
    <w:rsid w:val="005D7920"/>
    <w:rsid w:val="005E0CE8"/>
    <w:rsid w:val="00632BAB"/>
    <w:rsid w:val="0063564A"/>
    <w:rsid w:val="00651353"/>
    <w:rsid w:val="00665BD1"/>
    <w:rsid w:val="00680A44"/>
    <w:rsid w:val="0068332D"/>
    <w:rsid w:val="0068673B"/>
    <w:rsid w:val="006A041A"/>
    <w:rsid w:val="006A4581"/>
    <w:rsid w:val="006B236E"/>
    <w:rsid w:val="006D6B03"/>
    <w:rsid w:val="007070D6"/>
    <w:rsid w:val="00727C19"/>
    <w:rsid w:val="00734F1E"/>
    <w:rsid w:val="00745133"/>
    <w:rsid w:val="00756AD4"/>
    <w:rsid w:val="0079384D"/>
    <w:rsid w:val="00814BAF"/>
    <w:rsid w:val="0082691C"/>
    <w:rsid w:val="0083757A"/>
    <w:rsid w:val="008859BB"/>
    <w:rsid w:val="008A79BD"/>
    <w:rsid w:val="008B7A09"/>
    <w:rsid w:val="008D6A28"/>
    <w:rsid w:val="008D767E"/>
    <w:rsid w:val="0093599C"/>
    <w:rsid w:val="00974145"/>
    <w:rsid w:val="00982C7F"/>
    <w:rsid w:val="00986F11"/>
    <w:rsid w:val="00991CEE"/>
    <w:rsid w:val="00995831"/>
    <w:rsid w:val="009F559A"/>
    <w:rsid w:val="00A054C1"/>
    <w:rsid w:val="00A070BB"/>
    <w:rsid w:val="00A20EF7"/>
    <w:rsid w:val="00A212D6"/>
    <w:rsid w:val="00A278F5"/>
    <w:rsid w:val="00A35D39"/>
    <w:rsid w:val="00A443BE"/>
    <w:rsid w:val="00A655AA"/>
    <w:rsid w:val="00A8547A"/>
    <w:rsid w:val="00A858E9"/>
    <w:rsid w:val="00A90B59"/>
    <w:rsid w:val="00A90E30"/>
    <w:rsid w:val="00A94FA0"/>
    <w:rsid w:val="00AB4417"/>
    <w:rsid w:val="00AD0D0B"/>
    <w:rsid w:val="00AD7370"/>
    <w:rsid w:val="00AE0C26"/>
    <w:rsid w:val="00AE5E5C"/>
    <w:rsid w:val="00B13BE1"/>
    <w:rsid w:val="00B35775"/>
    <w:rsid w:val="00B7792A"/>
    <w:rsid w:val="00B85936"/>
    <w:rsid w:val="00BC684F"/>
    <w:rsid w:val="00BE1891"/>
    <w:rsid w:val="00C03AA4"/>
    <w:rsid w:val="00C244CA"/>
    <w:rsid w:val="00C371B4"/>
    <w:rsid w:val="00C41E24"/>
    <w:rsid w:val="00C466EC"/>
    <w:rsid w:val="00C56A75"/>
    <w:rsid w:val="00C74E56"/>
    <w:rsid w:val="00C75436"/>
    <w:rsid w:val="00CA095C"/>
    <w:rsid w:val="00CB0700"/>
    <w:rsid w:val="00CC5EB1"/>
    <w:rsid w:val="00CC7653"/>
    <w:rsid w:val="00CD1395"/>
    <w:rsid w:val="00CE4834"/>
    <w:rsid w:val="00CF7A23"/>
    <w:rsid w:val="00D164C2"/>
    <w:rsid w:val="00D339AE"/>
    <w:rsid w:val="00D37427"/>
    <w:rsid w:val="00D4297B"/>
    <w:rsid w:val="00D52B59"/>
    <w:rsid w:val="00D53A8C"/>
    <w:rsid w:val="00D63581"/>
    <w:rsid w:val="00D9572C"/>
    <w:rsid w:val="00DA11A3"/>
    <w:rsid w:val="00DB6DA3"/>
    <w:rsid w:val="00DC680F"/>
    <w:rsid w:val="00DE1DB6"/>
    <w:rsid w:val="00DE2B7C"/>
    <w:rsid w:val="00DF1FB1"/>
    <w:rsid w:val="00DF264D"/>
    <w:rsid w:val="00E1374A"/>
    <w:rsid w:val="00E137D6"/>
    <w:rsid w:val="00E25D82"/>
    <w:rsid w:val="00E47E0E"/>
    <w:rsid w:val="00E953F9"/>
    <w:rsid w:val="00EC488F"/>
    <w:rsid w:val="00EC749D"/>
    <w:rsid w:val="00F030E1"/>
    <w:rsid w:val="00F04A2B"/>
    <w:rsid w:val="00F15CB8"/>
    <w:rsid w:val="00F92752"/>
    <w:rsid w:val="00FC7E10"/>
    <w:rsid w:val="00FE4D7A"/>
    <w:rsid w:val="00FE698B"/>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88D9"/>
  <w15:chartTrackingRefBased/>
  <w15:docId w15:val="{E3C54FA0-CA78-4D43-87C4-4C50683C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url?sa=i&amp;url=https://www.thedoctorstv.com/videos/erysipelas-what-it-and-how-to-treat-it&amp;psig=AOvVaw2INKQ1QQPuC5tCZVFybOlR&amp;ust=1591912856310000&amp;source=images&amp;cd=vfe&amp;ved=0CAIQjRxqFwoTCKDD0Nuf-OkCFQAAAAAdAAAAABA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2366</Words>
  <Characters>13491</Characters>
  <Application>Microsoft Office Word</Application>
  <DocSecurity>0</DocSecurity>
  <Lines>112</Lines>
  <Paragraphs>31</Paragraphs>
  <ScaleCrop>false</ScaleCrop>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Kathryn</dc:creator>
  <cp:keywords/>
  <dc:description/>
  <cp:lastModifiedBy>Wynne, Kathryn</cp:lastModifiedBy>
  <cp:revision>9</cp:revision>
  <dcterms:created xsi:type="dcterms:W3CDTF">2020-07-31T17:31:00Z</dcterms:created>
  <dcterms:modified xsi:type="dcterms:W3CDTF">2024-08-02T18:11:00Z</dcterms:modified>
</cp:coreProperties>
</file>